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0D3" w:rsidRPr="004212A1" w:rsidRDefault="001C40D3">
      <w:pPr>
        <w:rPr>
          <w:b/>
          <w:sz w:val="24"/>
          <w:szCs w:val="24"/>
        </w:rPr>
      </w:pPr>
      <w:r w:rsidRPr="004212A1">
        <w:rPr>
          <w:b/>
          <w:sz w:val="24"/>
          <w:szCs w:val="24"/>
        </w:rPr>
        <w:t>COURSE OUTCOME:</w:t>
      </w:r>
    </w:p>
    <w:p w:rsidR="00802900" w:rsidRPr="00D116FE" w:rsidRDefault="001C40D3" w:rsidP="00802900">
      <w:pPr>
        <w:pStyle w:val="ListParagraph"/>
        <w:numPr>
          <w:ilvl w:val="0"/>
          <w:numId w:val="1"/>
        </w:numPr>
        <w:rPr>
          <w:b/>
          <w:sz w:val="24"/>
          <w:szCs w:val="24"/>
        </w:rPr>
      </w:pPr>
      <w:r w:rsidRPr="00D116FE">
        <w:rPr>
          <w:b/>
          <w:sz w:val="24"/>
          <w:szCs w:val="24"/>
        </w:rPr>
        <w:t>Course Description</w:t>
      </w:r>
      <w:r w:rsidR="00802900" w:rsidRPr="00D116FE">
        <w:rPr>
          <w:b/>
          <w:sz w:val="24"/>
          <w:szCs w:val="24"/>
        </w:rPr>
        <w:t xml:space="preserve">  </w:t>
      </w:r>
    </w:p>
    <w:p w:rsidR="001C40D3" w:rsidRPr="004212A1" w:rsidRDefault="0032412C" w:rsidP="004D34BF">
      <w:pPr>
        <w:ind w:left="720"/>
        <w:rPr>
          <w:b/>
          <w:sz w:val="24"/>
          <w:szCs w:val="24"/>
        </w:rPr>
      </w:pPr>
      <w:r w:rsidRPr="0032412C">
        <w:rPr>
          <w:rFonts w:ascii="Verdana" w:hAnsi="Verdana"/>
          <w:color w:val="111111"/>
        </w:rPr>
        <w:t xml:space="preserve">The study of functions and an extension of the concepts of Algebra </w:t>
      </w:r>
      <w:proofErr w:type="gramStart"/>
      <w:r w:rsidRPr="0032412C">
        <w:rPr>
          <w:rFonts w:ascii="Verdana" w:hAnsi="Verdana"/>
          <w:color w:val="111111"/>
        </w:rPr>
        <w:t>I and many of the concepts of Geometry</w:t>
      </w:r>
      <w:proofErr w:type="gramEnd"/>
      <w:r w:rsidRPr="0032412C">
        <w:rPr>
          <w:rFonts w:ascii="Verdana" w:hAnsi="Verdana"/>
          <w:color w:val="111111"/>
        </w:rPr>
        <w:t xml:space="preserve"> are provided. Topics covered </w:t>
      </w:r>
      <w:proofErr w:type="gramStart"/>
      <w:r w:rsidRPr="0032412C">
        <w:rPr>
          <w:rFonts w:ascii="Verdana" w:hAnsi="Verdana"/>
          <w:color w:val="111111"/>
        </w:rPr>
        <w:t>are:</w:t>
      </w:r>
      <w:proofErr w:type="gramEnd"/>
      <w:r w:rsidRPr="0032412C">
        <w:rPr>
          <w:rFonts w:ascii="Verdana" w:hAnsi="Verdana"/>
          <w:color w:val="111111"/>
        </w:rPr>
        <w:t xml:space="preserve"> linear and quadratic equations and functions; systems of equations and inequalities; polynomials and rational polynomial expressions; polynomial functions; conic sections; exponential and logarithmic functions; probability and statistics. Satisfactory completion of this course prepares students for entry into Pre-Calculus or Advanced Algebra and Trigonometry. (Prerequisites: Algebra I credit</w:t>
      </w:r>
      <w:r w:rsidR="004D34BF">
        <w:rPr>
          <w:rFonts w:ascii="Verdana" w:hAnsi="Verdana"/>
          <w:color w:val="111111"/>
        </w:rPr>
        <w:t>)</w:t>
      </w:r>
    </w:p>
    <w:p w:rsidR="006844A3" w:rsidRPr="004212A1" w:rsidRDefault="006844A3" w:rsidP="004212A1">
      <w:pPr>
        <w:pStyle w:val="ListParagraph"/>
        <w:numPr>
          <w:ilvl w:val="0"/>
          <w:numId w:val="1"/>
        </w:numPr>
      </w:pPr>
      <w:r w:rsidRPr="00D116FE">
        <w:rPr>
          <w:b/>
          <w:sz w:val="24"/>
          <w:szCs w:val="24"/>
        </w:rPr>
        <w:t xml:space="preserve">Hyperlink to </w:t>
      </w:r>
      <w:r w:rsidR="001C40D3" w:rsidRPr="00D116FE">
        <w:rPr>
          <w:b/>
          <w:sz w:val="24"/>
          <w:szCs w:val="24"/>
        </w:rPr>
        <w:t>state standards</w:t>
      </w:r>
      <w:r w:rsidR="004212A1" w:rsidRPr="004212A1">
        <w:rPr>
          <w:b/>
        </w:rPr>
        <w:t xml:space="preserve">  </w:t>
      </w:r>
      <w:hyperlink r:id="rId8" w:history="1">
        <w:r w:rsidRPr="004212A1">
          <w:rPr>
            <w:rStyle w:val="Hyperlink"/>
          </w:rPr>
          <w:t>http://www.tn.gov/education/standards/math.shtml</w:t>
        </w:r>
      </w:hyperlink>
    </w:p>
    <w:p w:rsidR="001C40D3" w:rsidRPr="004212A1" w:rsidRDefault="001C40D3" w:rsidP="006C67FB">
      <w:pPr>
        <w:rPr>
          <w:b/>
          <w:sz w:val="24"/>
          <w:szCs w:val="24"/>
        </w:rPr>
      </w:pPr>
      <w:r w:rsidRPr="004212A1">
        <w:rPr>
          <w:b/>
          <w:sz w:val="24"/>
          <w:szCs w:val="24"/>
        </w:rPr>
        <w:t>INSTRUCTION:</w:t>
      </w:r>
    </w:p>
    <w:p w:rsidR="001C40D3" w:rsidRPr="00D116FE" w:rsidRDefault="001C40D3" w:rsidP="006C67FB">
      <w:pPr>
        <w:pStyle w:val="ListParagraph"/>
        <w:numPr>
          <w:ilvl w:val="0"/>
          <w:numId w:val="2"/>
        </w:numPr>
        <w:rPr>
          <w:b/>
          <w:sz w:val="24"/>
        </w:rPr>
      </w:pPr>
      <w:r w:rsidRPr="00D116FE">
        <w:rPr>
          <w:b/>
          <w:sz w:val="24"/>
        </w:rPr>
        <w:t xml:space="preserve">Topics/Skills Covered </w:t>
      </w:r>
    </w:p>
    <w:p w:rsidR="006844A3" w:rsidRPr="004212A1" w:rsidRDefault="006844A3" w:rsidP="004D34BF">
      <w:pPr>
        <w:spacing w:before="100" w:beforeAutospacing="1" w:after="100" w:afterAutospacing="1" w:line="240" w:lineRule="auto"/>
        <w:ind w:left="720"/>
        <w:outlineLvl w:val="3"/>
        <w:rPr>
          <w:rFonts w:ascii="Verdana" w:hAnsi="Verdana"/>
          <w:bCs/>
        </w:rPr>
      </w:pPr>
      <w:r w:rsidRPr="004212A1">
        <w:rPr>
          <w:rFonts w:ascii="Verdana" w:hAnsi="Verdana"/>
          <w:bCs/>
          <w:color w:val="000000"/>
        </w:rPr>
        <w:t xml:space="preserve">Building on their work with linear, quadratic, and exponential functions, students extend their repertoire of functions to include polynomial, rational, and radical functions. Students work closely with the expressions that define the functions, and continue to expand and hone their abilities to model situations and to solve equations, including solving quadratic equations over the set of complex numbers and solving exponential equations using the properties of logarithms. </w:t>
      </w:r>
      <w:r w:rsidR="008027D9" w:rsidRPr="008027D9">
        <w:rPr>
          <w:rFonts w:ascii="Verdana" w:hAnsi="Verdana"/>
          <w:bCs/>
          <w:color w:val="000000"/>
        </w:rPr>
        <w:t>The Mathematical Practice Standards apply throughout each course and, together with the content standards, prescribe that students experience mathematics as a coherent, useful, and logical subject that makes use of their ability to make sense of problem situations.</w:t>
      </w:r>
      <w:r w:rsidR="004D34BF">
        <w:rPr>
          <w:rFonts w:ascii="Verdana" w:hAnsi="Verdana"/>
          <w:bCs/>
        </w:rPr>
        <w:t xml:space="preserve"> </w:t>
      </w:r>
      <w:r w:rsidR="004212A1">
        <w:rPr>
          <w:rFonts w:ascii="Verdana" w:hAnsi="Verdana"/>
          <w:bCs/>
          <w:color w:val="000000"/>
        </w:rPr>
        <w:t>Topics covered in this course include:</w:t>
      </w:r>
    </w:p>
    <w:p w:rsidR="006844A3" w:rsidRPr="004212A1" w:rsidRDefault="006844A3" w:rsidP="006844A3">
      <w:pPr>
        <w:numPr>
          <w:ilvl w:val="0"/>
          <w:numId w:val="15"/>
        </w:numPr>
        <w:spacing w:before="100" w:beforeAutospacing="1" w:after="100" w:afterAutospacing="1" w:line="240" w:lineRule="auto"/>
        <w:rPr>
          <w:rFonts w:ascii="Verdana" w:hAnsi="Verdana"/>
        </w:rPr>
      </w:pPr>
      <w:r w:rsidRPr="004212A1">
        <w:rPr>
          <w:rFonts w:ascii="Verdana" w:hAnsi="Verdana"/>
        </w:rPr>
        <w:t>Sequences, Series, &amp; Summations</w:t>
      </w:r>
    </w:p>
    <w:p w:rsidR="006844A3" w:rsidRPr="004212A1" w:rsidRDefault="006844A3" w:rsidP="006844A3">
      <w:pPr>
        <w:numPr>
          <w:ilvl w:val="0"/>
          <w:numId w:val="15"/>
        </w:numPr>
        <w:spacing w:before="100" w:beforeAutospacing="1" w:after="100" w:afterAutospacing="1" w:line="240" w:lineRule="auto"/>
        <w:rPr>
          <w:rFonts w:ascii="Verdana" w:hAnsi="Verdana"/>
        </w:rPr>
      </w:pPr>
      <w:r w:rsidRPr="004212A1">
        <w:rPr>
          <w:rFonts w:ascii="Verdana" w:hAnsi="Verdana"/>
        </w:rPr>
        <w:t>Quadratic Functions</w:t>
      </w:r>
    </w:p>
    <w:p w:rsidR="006844A3" w:rsidRPr="004212A1" w:rsidRDefault="006844A3" w:rsidP="006844A3">
      <w:pPr>
        <w:numPr>
          <w:ilvl w:val="0"/>
          <w:numId w:val="15"/>
        </w:numPr>
        <w:spacing w:before="100" w:beforeAutospacing="1" w:after="100" w:afterAutospacing="1" w:line="240" w:lineRule="auto"/>
        <w:rPr>
          <w:rFonts w:ascii="Verdana" w:hAnsi="Verdana"/>
        </w:rPr>
      </w:pPr>
      <w:r w:rsidRPr="004212A1">
        <w:rPr>
          <w:rFonts w:ascii="Verdana" w:hAnsi="Verdana"/>
        </w:rPr>
        <w:t>Quadratic Equations</w:t>
      </w:r>
    </w:p>
    <w:p w:rsidR="006844A3" w:rsidRPr="004212A1" w:rsidRDefault="006844A3" w:rsidP="006844A3">
      <w:pPr>
        <w:numPr>
          <w:ilvl w:val="0"/>
          <w:numId w:val="15"/>
        </w:numPr>
        <w:spacing w:before="100" w:beforeAutospacing="1" w:after="100" w:afterAutospacing="1" w:line="240" w:lineRule="auto"/>
        <w:rPr>
          <w:rFonts w:ascii="Verdana" w:hAnsi="Verdana"/>
        </w:rPr>
      </w:pPr>
      <w:r w:rsidRPr="004212A1">
        <w:rPr>
          <w:rFonts w:ascii="Verdana" w:hAnsi="Verdana"/>
        </w:rPr>
        <w:t>Polynomial Functions and Equations</w:t>
      </w:r>
    </w:p>
    <w:p w:rsidR="006844A3" w:rsidRPr="004212A1" w:rsidRDefault="006844A3" w:rsidP="006844A3">
      <w:pPr>
        <w:numPr>
          <w:ilvl w:val="0"/>
          <w:numId w:val="15"/>
        </w:numPr>
        <w:spacing w:before="100" w:beforeAutospacing="1" w:after="100" w:afterAutospacing="1" w:line="240" w:lineRule="auto"/>
        <w:rPr>
          <w:rFonts w:ascii="Verdana" w:hAnsi="Verdana"/>
        </w:rPr>
      </w:pPr>
      <w:r w:rsidRPr="004212A1">
        <w:rPr>
          <w:rFonts w:ascii="Verdana" w:hAnsi="Verdana"/>
        </w:rPr>
        <w:t>Rational Functions and Equations</w:t>
      </w:r>
    </w:p>
    <w:p w:rsidR="006844A3" w:rsidRPr="004212A1" w:rsidRDefault="006844A3" w:rsidP="006844A3">
      <w:pPr>
        <w:numPr>
          <w:ilvl w:val="0"/>
          <w:numId w:val="15"/>
        </w:numPr>
        <w:spacing w:before="100" w:beforeAutospacing="1" w:after="100" w:afterAutospacing="1" w:line="240" w:lineRule="auto"/>
        <w:rPr>
          <w:rFonts w:ascii="Verdana" w:hAnsi="Verdana"/>
        </w:rPr>
      </w:pPr>
      <w:r w:rsidRPr="004212A1">
        <w:rPr>
          <w:rFonts w:ascii="Verdana" w:hAnsi="Verdana"/>
        </w:rPr>
        <w:t>Radical Functions and Equations</w:t>
      </w:r>
    </w:p>
    <w:p w:rsidR="006844A3" w:rsidRPr="004212A1" w:rsidRDefault="006844A3" w:rsidP="006844A3">
      <w:pPr>
        <w:numPr>
          <w:ilvl w:val="0"/>
          <w:numId w:val="15"/>
        </w:numPr>
        <w:spacing w:before="100" w:beforeAutospacing="1" w:after="100" w:afterAutospacing="1" w:line="240" w:lineRule="auto"/>
        <w:rPr>
          <w:rFonts w:ascii="Verdana" w:hAnsi="Verdana"/>
        </w:rPr>
      </w:pPr>
      <w:r w:rsidRPr="004212A1">
        <w:rPr>
          <w:rFonts w:ascii="Verdana" w:hAnsi="Verdana"/>
        </w:rPr>
        <w:t>Exponential and Logarithmic Functions and Equations</w:t>
      </w:r>
    </w:p>
    <w:p w:rsidR="006844A3" w:rsidRPr="004212A1" w:rsidRDefault="006844A3" w:rsidP="006844A3">
      <w:pPr>
        <w:numPr>
          <w:ilvl w:val="0"/>
          <w:numId w:val="15"/>
        </w:numPr>
        <w:spacing w:before="100" w:beforeAutospacing="1" w:after="100" w:afterAutospacing="1" w:line="240" w:lineRule="auto"/>
        <w:rPr>
          <w:rFonts w:ascii="Verdana" w:hAnsi="Verdana"/>
        </w:rPr>
      </w:pPr>
      <w:r w:rsidRPr="004212A1">
        <w:rPr>
          <w:rFonts w:ascii="Verdana" w:hAnsi="Verdana"/>
        </w:rPr>
        <w:t>Trigonometric Functions</w:t>
      </w:r>
    </w:p>
    <w:p w:rsidR="006844A3" w:rsidRPr="004212A1" w:rsidRDefault="006844A3" w:rsidP="006844A3">
      <w:pPr>
        <w:numPr>
          <w:ilvl w:val="0"/>
          <w:numId w:val="15"/>
        </w:numPr>
        <w:spacing w:before="100" w:beforeAutospacing="1" w:after="100" w:afterAutospacing="1" w:line="240" w:lineRule="auto"/>
        <w:rPr>
          <w:rFonts w:ascii="Verdana" w:hAnsi="Verdana"/>
        </w:rPr>
      </w:pPr>
      <w:r w:rsidRPr="004212A1">
        <w:rPr>
          <w:rFonts w:ascii="Verdana" w:hAnsi="Verdana"/>
        </w:rPr>
        <w:t>Probability</w:t>
      </w:r>
    </w:p>
    <w:p w:rsidR="006844A3" w:rsidRPr="004212A1" w:rsidRDefault="006844A3" w:rsidP="006844A3">
      <w:pPr>
        <w:numPr>
          <w:ilvl w:val="0"/>
          <w:numId w:val="15"/>
        </w:numPr>
        <w:spacing w:before="100" w:beforeAutospacing="1" w:after="100" w:afterAutospacing="1" w:line="240" w:lineRule="auto"/>
        <w:rPr>
          <w:rFonts w:ascii="Verdana" w:hAnsi="Verdana"/>
        </w:rPr>
      </w:pPr>
      <w:r w:rsidRPr="004212A1">
        <w:rPr>
          <w:rFonts w:ascii="Verdana" w:hAnsi="Verdana"/>
        </w:rPr>
        <w:t>The Design of Statistical Studies</w:t>
      </w:r>
    </w:p>
    <w:p w:rsidR="00231336" w:rsidRDefault="006844A3" w:rsidP="00231336">
      <w:pPr>
        <w:numPr>
          <w:ilvl w:val="0"/>
          <w:numId w:val="15"/>
        </w:numPr>
        <w:spacing w:before="100" w:beforeAutospacing="1" w:after="100" w:afterAutospacing="1" w:line="240" w:lineRule="auto"/>
        <w:rPr>
          <w:rFonts w:ascii="Verdana" w:hAnsi="Verdana"/>
        </w:rPr>
      </w:pPr>
      <w:r w:rsidRPr="004212A1">
        <w:rPr>
          <w:rFonts w:ascii="Verdana" w:hAnsi="Verdana"/>
        </w:rPr>
        <w:t>Gathering Data, Making Inferences, and Justifying Conclusions</w:t>
      </w:r>
    </w:p>
    <w:p w:rsidR="00231336" w:rsidRDefault="00231336" w:rsidP="00231336">
      <w:pPr>
        <w:pStyle w:val="ListParagraph"/>
        <w:ind w:left="1080"/>
        <w:rPr>
          <w:rFonts w:asciiTheme="minorHAnsi" w:hAnsiTheme="minorHAnsi"/>
          <w:b/>
          <w:sz w:val="24"/>
          <w:szCs w:val="24"/>
        </w:rPr>
      </w:pPr>
    </w:p>
    <w:p w:rsidR="004D34BF" w:rsidRPr="004D34BF" w:rsidRDefault="004D34BF" w:rsidP="004D34BF">
      <w:pPr>
        <w:pStyle w:val="ListParagraph"/>
        <w:numPr>
          <w:ilvl w:val="0"/>
          <w:numId w:val="15"/>
        </w:numPr>
        <w:tabs>
          <w:tab w:val="clear" w:pos="1080"/>
          <w:tab w:val="num" w:pos="720"/>
        </w:tabs>
        <w:ind w:hanging="720"/>
        <w:rPr>
          <w:rFonts w:asciiTheme="minorHAnsi" w:hAnsiTheme="minorHAnsi"/>
          <w:b/>
          <w:sz w:val="24"/>
          <w:szCs w:val="24"/>
        </w:rPr>
      </w:pPr>
      <w:r w:rsidRPr="004D34BF">
        <w:rPr>
          <w:rFonts w:asciiTheme="minorHAnsi" w:hAnsiTheme="minorHAnsi"/>
          <w:b/>
          <w:sz w:val="24"/>
          <w:szCs w:val="24"/>
        </w:rPr>
        <w:t>General Pacing</w:t>
      </w:r>
    </w:p>
    <w:p w:rsidR="001C40D3" w:rsidRPr="004212A1" w:rsidRDefault="001C40D3" w:rsidP="00C6610F">
      <w:pPr>
        <w:pStyle w:val="ListParagraph"/>
        <w:rPr>
          <w:rFonts w:ascii="Verdana" w:hAnsi="Verdana"/>
        </w:rPr>
      </w:pPr>
      <w:r w:rsidRPr="004212A1">
        <w:rPr>
          <w:rFonts w:ascii="Verdana" w:hAnsi="Verdana"/>
        </w:rPr>
        <w:t xml:space="preserve">Algebra 2 consists of 14 textbook chapters that </w:t>
      </w:r>
      <w:proofErr w:type="gramStart"/>
      <w:r w:rsidRPr="004212A1">
        <w:rPr>
          <w:rFonts w:ascii="Verdana" w:hAnsi="Verdana"/>
        </w:rPr>
        <w:t>are organized</w:t>
      </w:r>
      <w:proofErr w:type="gramEnd"/>
      <w:r w:rsidRPr="004212A1">
        <w:rPr>
          <w:rFonts w:ascii="Verdana" w:hAnsi="Verdana"/>
        </w:rPr>
        <w:t xml:space="preserve"> into units</w:t>
      </w:r>
      <w:r w:rsidR="002E153A">
        <w:rPr>
          <w:rFonts w:ascii="Verdana" w:hAnsi="Verdana"/>
        </w:rPr>
        <w:t>/modules</w:t>
      </w:r>
      <w:r w:rsidRPr="004212A1">
        <w:rPr>
          <w:rFonts w:ascii="Verdana" w:hAnsi="Verdana"/>
        </w:rPr>
        <w:t xml:space="preserve"> that focus on primary topics. The course is 18 weeks long and the pace of the course depends on the length and material contained in each unit, as well as the students understanding of the material. </w:t>
      </w:r>
      <w:r w:rsidRPr="004212A1">
        <w:rPr>
          <w:rFonts w:ascii="Verdana" w:hAnsi="Verdana"/>
        </w:rPr>
        <w:lastRenderedPageBreak/>
        <w:t xml:space="preserve">Additional </w:t>
      </w:r>
      <w:proofErr w:type="spellStart"/>
      <w:r w:rsidR="002E153A">
        <w:rPr>
          <w:rFonts w:ascii="Verdana" w:hAnsi="Verdana"/>
        </w:rPr>
        <w:t>TNCore</w:t>
      </w:r>
      <w:proofErr w:type="spellEnd"/>
      <w:r w:rsidR="002E153A">
        <w:rPr>
          <w:rFonts w:ascii="Verdana" w:hAnsi="Verdana"/>
        </w:rPr>
        <w:t xml:space="preserve"> </w:t>
      </w:r>
      <w:r w:rsidRPr="004212A1">
        <w:rPr>
          <w:rFonts w:ascii="Verdana" w:hAnsi="Verdana"/>
        </w:rPr>
        <w:t xml:space="preserve">state standards must also be covered which may not be included in the textbook. </w:t>
      </w:r>
    </w:p>
    <w:p w:rsidR="001C40D3" w:rsidRPr="004212A1" w:rsidRDefault="001C40D3" w:rsidP="009A0D8D">
      <w:pPr>
        <w:pStyle w:val="ListParagraph"/>
        <w:spacing w:before="100" w:after="100" w:line="240" w:lineRule="auto"/>
        <w:rPr>
          <w:rFonts w:ascii="Verdana" w:hAnsi="Verdana"/>
          <w:color w:val="111111"/>
          <w:sz w:val="24"/>
          <w:szCs w:val="24"/>
        </w:rPr>
      </w:pPr>
    </w:p>
    <w:p w:rsidR="001C40D3" w:rsidRPr="00D116FE" w:rsidRDefault="001C40D3" w:rsidP="00511B7C">
      <w:pPr>
        <w:pStyle w:val="ListParagraph"/>
        <w:numPr>
          <w:ilvl w:val="0"/>
          <w:numId w:val="7"/>
        </w:numPr>
        <w:tabs>
          <w:tab w:val="left" w:pos="720"/>
        </w:tabs>
        <w:rPr>
          <w:b/>
          <w:sz w:val="24"/>
        </w:rPr>
      </w:pPr>
      <w:r w:rsidRPr="00D116FE">
        <w:rPr>
          <w:b/>
          <w:sz w:val="24"/>
        </w:rPr>
        <w:t>Fees</w:t>
      </w:r>
    </w:p>
    <w:p w:rsidR="001C40D3" w:rsidRPr="004212A1" w:rsidRDefault="00316CCC" w:rsidP="009A0D8D">
      <w:pPr>
        <w:pStyle w:val="ListParagraph"/>
        <w:tabs>
          <w:tab w:val="left" w:pos="720"/>
        </w:tabs>
        <w:rPr>
          <w:rFonts w:ascii="Verdana" w:hAnsi="Verdana"/>
        </w:rPr>
      </w:pPr>
      <w:r w:rsidRPr="004212A1">
        <w:rPr>
          <w:rFonts w:ascii="Verdana" w:hAnsi="Verdana"/>
        </w:rPr>
        <w:t xml:space="preserve">All </w:t>
      </w:r>
      <w:r w:rsidR="00374EA9">
        <w:rPr>
          <w:rFonts w:ascii="Verdana" w:hAnsi="Verdana"/>
        </w:rPr>
        <w:t xml:space="preserve">CP </w:t>
      </w:r>
      <w:r w:rsidR="005438E9">
        <w:rPr>
          <w:rFonts w:ascii="Verdana" w:hAnsi="Verdana"/>
        </w:rPr>
        <w:t>math courses have a $5</w:t>
      </w:r>
      <w:r w:rsidR="004212A1">
        <w:rPr>
          <w:rFonts w:ascii="Verdana" w:hAnsi="Verdana"/>
        </w:rPr>
        <w:t xml:space="preserve">.00 fee. </w:t>
      </w:r>
      <w:r w:rsidR="00374EA9">
        <w:rPr>
          <w:rFonts w:ascii="Verdana" w:hAnsi="Verdana"/>
        </w:rPr>
        <w:t xml:space="preserve">Honors math courses have a $20.00 fee.  </w:t>
      </w:r>
      <w:r w:rsidR="001C40D3" w:rsidRPr="004212A1">
        <w:rPr>
          <w:rFonts w:ascii="Verdana" w:hAnsi="Verdana"/>
        </w:rPr>
        <w:t xml:space="preserve">This is </w:t>
      </w:r>
      <w:proofErr w:type="gramStart"/>
      <w:r w:rsidR="001C40D3" w:rsidRPr="004212A1">
        <w:rPr>
          <w:rFonts w:ascii="Verdana" w:hAnsi="Verdana"/>
        </w:rPr>
        <w:t>for the purpose of</w:t>
      </w:r>
      <w:proofErr w:type="gramEnd"/>
      <w:r w:rsidR="001C40D3" w:rsidRPr="004212A1">
        <w:rPr>
          <w:rFonts w:ascii="Verdana" w:hAnsi="Verdana"/>
        </w:rPr>
        <w:t xml:space="preserve"> providing calculators</w:t>
      </w:r>
      <w:r w:rsidR="00A24603" w:rsidRPr="004212A1">
        <w:rPr>
          <w:rFonts w:ascii="Verdana" w:hAnsi="Verdana"/>
        </w:rPr>
        <w:t xml:space="preserve">, </w:t>
      </w:r>
      <w:r w:rsidR="001C40D3" w:rsidRPr="004212A1">
        <w:rPr>
          <w:rFonts w:ascii="Verdana" w:hAnsi="Verdana"/>
        </w:rPr>
        <w:t>batteries</w:t>
      </w:r>
      <w:r w:rsidR="00A24603" w:rsidRPr="004212A1">
        <w:rPr>
          <w:rFonts w:ascii="Verdana" w:hAnsi="Verdana"/>
        </w:rPr>
        <w:t xml:space="preserve"> and supplies</w:t>
      </w:r>
      <w:r w:rsidR="001C40D3" w:rsidRPr="004212A1">
        <w:rPr>
          <w:rFonts w:ascii="Verdana" w:hAnsi="Verdana"/>
        </w:rPr>
        <w:t xml:space="preserve"> for classroom use.  </w:t>
      </w:r>
    </w:p>
    <w:p w:rsidR="001C40D3" w:rsidRPr="004212A1" w:rsidRDefault="001C40D3" w:rsidP="009A0D8D">
      <w:pPr>
        <w:pStyle w:val="ListParagraph"/>
        <w:tabs>
          <w:tab w:val="left" w:pos="720"/>
        </w:tabs>
        <w:rPr>
          <w:b/>
        </w:rPr>
      </w:pPr>
    </w:p>
    <w:p w:rsidR="001C40D3" w:rsidRPr="00D116FE" w:rsidRDefault="001C40D3" w:rsidP="006C67FB">
      <w:pPr>
        <w:rPr>
          <w:b/>
          <w:sz w:val="24"/>
          <w:szCs w:val="24"/>
        </w:rPr>
      </w:pPr>
      <w:r w:rsidRPr="00D116FE">
        <w:rPr>
          <w:b/>
          <w:sz w:val="24"/>
          <w:szCs w:val="24"/>
        </w:rPr>
        <w:t>ASSESSME</w:t>
      </w:r>
      <w:r w:rsidR="008E470B" w:rsidRPr="00D116FE">
        <w:rPr>
          <w:b/>
          <w:sz w:val="24"/>
          <w:szCs w:val="24"/>
        </w:rPr>
        <w:t>N</w:t>
      </w:r>
      <w:r w:rsidRPr="00D116FE">
        <w:rPr>
          <w:b/>
          <w:sz w:val="24"/>
          <w:szCs w:val="24"/>
        </w:rPr>
        <w:t>T:</w:t>
      </w:r>
    </w:p>
    <w:p w:rsidR="001C40D3" w:rsidRPr="00D116FE" w:rsidRDefault="001C40D3" w:rsidP="006C67FB">
      <w:pPr>
        <w:pStyle w:val="ListParagraph"/>
        <w:numPr>
          <w:ilvl w:val="0"/>
          <w:numId w:val="4"/>
        </w:numPr>
        <w:rPr>
          <w:b/>
          <w:sz w:val="24"/>
          <w:szCs w:val="24"/>
        </w:rPr>
      </w:pPr>
      <w:r w:rsidRPr="00D116FE">
        <w:rPr>
          <w:b/>
          <w:sz w:val="24"/>
          <w:szCs w:val="24"/>
        </w:rPr>
        <w:t>Expectations</w:t>
      </w:r>
    </w:p>
    <w:p w:rsidR="001C40D3" w:rsidRPr="004212A1" w:rsidRDefault="001C40D3" w:rsidP="00590E74">
      <w:pPr>
        <w:pStyle w:val="ListParagraph"/>
        <w:ind w:left="1440"/>
        <w:rPr>
          <w:rFonts w:ascii="Verdana" w:hAnsi="Verdana"/>
        </w:rPr>
      </w:pPr>
      <w:r w:rsidRPr="004212A1">
        <w:rPr>
          <w:rFonts w:ascii="Verdana" w:hAnsi="Verdana"/>
        </w:rPr>
        <w:t xml:space="preserve">Algebra 2 students </w:t>
      </w:r>
      <w:proofErr w:type="gramStart"/>
      <w:r w:rsidRPr="004212A1">
        <w:rPr>
          <w:rFonts w:ascii="Verdana" w:hAnsi="Verdana"/>
        </w:rPr>
        <w:t>will be expected</w:t>
      </w:r>
      <w:proofErr w:type="gramEnd"/>
      <w:r w:rsidRPr="004212A1">
        <w:rPr>
          <w:rFonts w:ascii="Verdana" w:hAnsi="Verdana"/>
        </w:rPr>
        <w:t xml:space="preserve"> to master all m</w:t>
      </w:r>
      <w:r w:rsidR="00C9448E">
        <w:rPr>
          <w:rFonts w:ascii="Verdana" w:hAnsi="Verdana"/>
        </w:rPr>
        <w:t xml:space="preserve">aterials listed in the </w:t>
      </w:r>
      <w:r w:rsidR="003E4699">
        <w:rPr>
          <w:rFonts w:ascii="Verdana" w:hAnsi="Verdana"/>
        </w:rPr>
        <w:t>Tennessee</w:t>
      </w:r>
      <w:r w:rsidRPr="004212A1">
        <w:rPr>
          <w:rFonts w:ascii="Verdana" w:hAnsi="Verdana"/>
        </w:rPr>
        <w:t xml:space="preserve"> State Standards.  Mastery </w:t>
      </w:r>
      <w:proofErr w:type="gramStart"/>
      <w:r w:rsidRPr="004212A1">
        <w:rPr>
          <w:rFonts w:ascii="Verdana" w:hAnsi="Verdana"/>
        </w:rPr>
        <w:t>will be determined</w:t>
      </w:r>
      <w:proofErr w:type="gramEnd"/>
      <w:r w:rsidRPr="004212A1">
        <w:rPr>
          <w:rFonts w:ascii="Verdana" w:hAnsi="Verdana"/>
        </w:rPr>
        <w:t xml:space="preserve"> by unit tests</w:t>
      </w:r>
      <w:r w:rsidR="00C75CD2" w:rsidRPr="004212A1">
        <w:rPr>
          <w:rFonts w:ascii="Verdana" w:hAnsi="Verdana"/>
        </w:rPr>
        <w:t>, q</w:t>
      </w:r>
      <w:r w:rsidRPr="004212A1">
        <w:rPr>
          <w:rFonts w:ascii="Verdana" w:hAnsi="Verdana"/>
        </w:rPr>
        <w:t xml:space="preserve">uizzes, </w:t>
      </w:r>
      <w:r w:rsidR="00004228">
        <w:rPr>
          <w:rFonts w:ascii="Verdana" w:hAnsi="Verdana"/>
        </w:rPr>
        <w:t>IXL assessments</w:t>
      </w:r>
      <w:r w:rsidR="003E4699">
        <w:rPr>
          <w:rFonts w:ascii="Verdana" w:hAnsi="Verdana"/>
        </w:rPr>
        <w:t xml:space="preserve"> </w:t>
      </w:r>
      <w:r w:rsidR="00C9448E">
        <w:rPr>
          <w:rFonts w:ascii="Verdana" w:hAnsi="Verdana"/>
        </w:rPr>
        <w:t>and the final comprehensive exam.</w:t>
      </w:r>
    </w:p>
    <w:p w:rsidR="001C40D3" w:rsidRPr="004212A1" w:rsidRDefault="001C40D3" w:rsidP="00590E74">
      <w:pPr>
        <w:pStyle w:val="ListParagraph"/>
        <w:ind w:left="1440"/>
        <w:rPr>
          <w:b/>
        </w:rPr>
      </w:pPr>
    </w:p>
    <w:p w:rsidR="001C40D3" w:rsidRPr="00D116FE" w:rsidRDefault="001C40D3" w:rsidP="000657A4">
      <w:pPr>
        <w:pStyle w:val="ListParagraph"/>
        <w:numPr>
          <w:ilvl w:val="0"/>
          <w:numId w:val="4"/>
        </w:numPr>
        <w:spacing w:after="0"/>
        <w:rPr>
          <w:b/>
          <w:sz w:val="24"/>
          <w:szCs w:val="24"/>
        </w:rPr>
      </w:pPr>
      <w:r w:rsidRPr="00D116FE">
        <w:rPr>
          <w:b/>
          <w:sz w:val="24"/>
          <w:szCs w:val="24"/>
        </w:rPr>
        <w:t>Grading Policy</w:t>
      </w:r>
    </w:p>
    <w:p w:rsidR="001C40D3" w:rsidRPr="004212A1" w:rsidRDefault="001C40D3" w:rsidP="006E32B6">
      <w:pPr>
        <w:ind w:firstLine="720"/>
        <w:rPr>
          <w:rFonts w:ascii="Verdana" w:hAnsi="Verdana"/>
        </w:rPr>
      </w:pPr>
      <w:r w:rsidRPr="004212A1">
        <w:rPr>
          <w:rFonts w:ascii="Verdana" w:hAnsi="Verdana"/>
        </w:rPr>
        <w:t xml:space="preserve">Grades </w:t>
      </w:r>
      <w:proofErr w:type="gramStart"/>
      <w:r w:rsidRPr="004212A1">
        <w:rPr>
          <w:rFonts w:ascii="Verdana" w:hAnsi="Verdana"/>
        </w:rPr>
        <w:t>will be determined</w:t>
      </w:r>
      <w:proofErr w:type="gramEnd"/>
      <w:r w:rsidRPr="004212A1">
        <w:rPr>
          <w:rFonts w:ascii="Verdana" w:hAnsi="Verdana"/>
        </w:rPr>
        <w:t xml:space="preserve"> by accumulation of points.</w:t>
      </w:r>
    </w:p>
    <w:p w:rsidR="001C40D3" w:rsidRPr="004212A1" w:rsidRDefault="001C40D3" w:rsidP="004227DF">
      <w:pPr>
        <w:pStyle w:val="ListParagraph"/>
        <w:ind w:firstLine="720"/>
        <w:rPr>
          <w:rFonts w:ascii="Verdana" w:hAnsi="Verdana"/>
        </w:rPr>
      </w:pPr>
      <w:r w:rsidRPr="004212A1">
        <w:rPr>
          <w:rFonts w:ascii="Verdana" w:hAnsi="Verdana"/>
        </w:rPr>
        <w:t>Grade Scale:</w:t>
      </w:r>
    </w:p>
    <w:p w:rsidR="001C40D3" w:rsidRPr="004212A1" w:rsidRDefault="001C40D3" w:rsidP="004227DF">
      <w:pPr>
        <w:pStyle w:val="ListParagraph"/>
        <w:ind w:firstLine="720"/>
        <w:rPr>
          <w:rFonts w:ascii="Verdana" w:hAnsi="Verdana"/>
        </w:rPr>
      </w:pPr>
      <w:r w:rsidRPr="004212A1">
        <w:rPr>
          <w:rFonts w:ascii="Verdana" w:hAnsi="Verdana"/>
        </w:rPr>
        <w:t>A</w:t>
      </w:r>
      <w:r w:rsidRPr="004212A1">
        <w:rPr>
          <w:rFonts w:ascii="Verdana" w:hAnsi="Verdana"/>
        </w:rPr>
        <w:tab/>
        <w:t>93-100</w:t>
      </w:r>
    </w:p>
    <w:p w:rsidR="001C40D3" w:rsidRPr="004212A1" w:rsidRDefault="00C75CD2" w:rsidP="004227DF">
      <w:pPr>
        <w:pStyle w:val="ListParagraph"/>
        <w:ind w:firstLine="720"/>
        <w:rPr>
          <w:rFonts w:ascii="Verdana" w:hAnsi="Verdana"/>
        </w:rPr>
      </w:pPr>
      <w:r w:rsidRPr="004212A1">
        <w:rPr>
          <w:rFonts w:ascii="Verdana" w:hAnsi="Verdana"/>
        </w:rPr>
        <w:t>B</w:t>
      </w:r>
      <w:r w:rsidRPr="004212A1">
        <w:rPr>
          <w:rFonts w:ascii="Verdana" w:hAnsi="Verdana"/>
        </w:rPr>
        <w:tab/>
        <w:t>8</w:t>
      </w:r>
      <w:r w:rsidR="001C40D3" w:rsidRPr="004212A1">
        <w:rPr>
          <w:rFonts w:ascii="Verdana" w:hAnsi="Verdana"/>
        </w:rPr>
        <w:t>5-92</w:t>
      </w:r>
    </w:p>
    <w:p w:rsidR="001C40D3" w:rsidRPr="004212A1" w:rsidRDefault="001C40D3" w:rsidP="004227DF">
      <w:pPr>
        <w:pStyle w:val="ListParagraph"/>
        <w:ind w:firstLine="720"/>
        <w:rPr>
          <w:rFonts w:ascii="Verdana" w:hAnsi="Verdana"/>
        </w:rPr>
      </w:pPr>
      <w:r w:rsidRPr="004212A1">
        <w:rPr>
          <w:rFonts w:ascii="Verdana" w:hAnsi="Verdana"/>
        </w:rPr>
        <w:t>C</w:t>
      </w:r>
      <w:r w:rsidRPr="004212A1">
        <w:rPr>
          <w:rFonts w:ascii="Verdana" w:hAnsi="Verdana"/>
        </w:rPr>
        <w:tab/>
        <w:t>75-84</w:t>
      </w:r>
    </w:p>
    <w:p w:rsidR="001C40D3" w:rsidRPr="004212A1" w:rsidRDefault="001C40D3" w:rsidP="004227DF">
      <w:pPr>
        <w:pStyle w:val="ListParagraph"/>
        <w:ind w:firstLine="720"/>
        <w:rPr>
          <w:rFonts w:ascii="Verdana" w:hAnsi="Verdana"/>
        </w:rPr>
      </w:pPr>
      <w:r w:rsidRPr="004212A1">
        <w:rPr>
          <w:rFonts w:ascii="Verdana" w:hAnsi="Verdana"/>
        </w:rPr>
        <w:t>D</w:t>
      </w:r>
      <w:r w:rsidRPr="004212A1">
        <w:rPr>
          <w:rFonts w:ascii="Verdana" w:hAnsi="Verdana"/>
        </w:rPr>
        <w:tab/>
        <w:t>70-74</w:t>
      </w:r>
    </w:p>
    <w:p w:rsidR="001C40D3" w:rsidRPr="004212A1" w:rsidRDefault="001C40D3" w:rsidP="004227DF">
      <w:pPr>
        <w:pStyle w:val="ListParagraph"/>
        <w:ind w:firstLine="720"/>
        <w:rPr>
          <w:rFonts w:ascii="Verdana" w:hAnsi="Verdana"/>
        </w:rPr>
      </w:pPr>
      <w:r w:rsidRPr="004212A1">
        <w:rPr>
          <w:rFonts w:ascii="Verdana" w:hAnsi="Verdana"/>
        </w:rPr>
        <w:t>F</w:t>
      </w:r>
      <w:r w:rsidRPr="004212A1">
        <w:rPr>
          <w:rFonts w:ascii="Verdana" w:hAnsi="Verdana"/>
        </w:rPr>
        <w:tab/>
        <w:t>below 70</w:t>
      </w:r>
    </w:p>
    <w:p w:rsidR="001C40D3" w:rsidRPr="004212A1" w:rsidRDefault="001C40D3" w:rsidP="00590E74">
      <w:pPr>
        <w:pStyle w:val="ListParagraph"/>
        <w:numPr>
          <w:ilvl w:val="1"/>
          <w:numId w:val="4"/>
        </w:numPr>
        <w:rPr>
          <w:rFonts w:ascii="Verdana" w:hAnsi="Verdana"/>
        </w:rPr>
      </w:pPr>
      <w:r w:rsidRPr="004212A1">
        <w:rPr>
          <w:rFonts w:ascii="Verdana" w:hAnsi="Verdana"/>
        </w:rPr>
        <w:t>Chapter Tests and Quizzes  – 4</w:t>
      </w:r>
      <w:r w:rsidR="005B6944">
        <w:rPr>
          <w:rFonts w:ascii="Verdana" w:hAnsi="Verdana"/>
        </w:rPr>
        <w:t>5</w:t>
      </w:r>
      <w:r w:rsidRPr="004212A1">
        <w:rPr>
          <w:rFonts w:ascii="Verdana" w:hAnsi="Verdana"/>
        </w:rPr>
        <w:t>% of total grade</w:t>
      </w:r>
    </w:p>
    <w:p w:rsidR="001C40D3" w:rsidRPr="004212A1" w:rsidRDefault="004212A1" w:rsidP="00590E74">
      <w:pPr>
        <w:pStyle w:val="ListParagraph"/>
        <w:numPr>
          <w:ilvl w:val="1"/>
          <w:numId w:val="4"/>
        </w:numPr>
        <w:rPr>
          <w:rFonts w:ascii="Verdana" w:hAnsi="Verdana"/>
        </w:rPr>
      </w:pPr>
      <w:r>
        <w:rPr>
          <w:rFonts w:ascii="Verdana" w:hAnsi="Verdana"/>
        </w:rPr>
        <w:t xml:space="preserve">Homework , Class Assignments </w:t>
      </w:r>
      <w:r w:rsidR="001C40D3" w:rsidRPr="004212A1">
        <w:rPr>
          <w:rFonts w:ascii="Verdana" w:hAnsi="Verdana"/>
        </w:rPr>
        <w:t xml:space="preserve">and Projects – </w:t>
      </w:r>
      <w:r w:rsidR="00722A0D">
        <w:rPr>
          <w:rFonts w:ascii="Verdana" w:hAnsi="Verdana"/>
        </w:rPr>
        <w:t>4</w:t>
      </w:r>
      <w:r w:rsidR="005B6944">
        <w:rPr>
          <w:rFonts w:ascii="Verdana" w:hAnsi="Verdana"/>
        </w:rPr>
        <w:t>0</w:t>
      </w:r>
      <w:r w:rsidR="001C40D3" w:rsidRPr="004212A1">
        <w:rPr>
          <w:rFonts w:ascii="Verdana" w:hAnsi="Verdana"/>
        </w:rPr>
        <w:t>% of total grade</w:t>
      </w:r>
    </w:p>
    <w:p w:rsidR="001C40D3" w:rsidRPr="004212A1" w:rsidRDefault="00C9448E" w:rsidP="00590E74">
      <w:pPr>
        <w:pStyle w:val="ListParagraph"/>
        <w:numPr>
          <w:ilvl w:val="1"/>
          <w:numId w:val="4"/>
        </w:numPr>
        <w:rPr>
          <w:rFonts w:ascii="Verdana" w:hAnsi="Verdana"/>
        </w:rPr>
      </w:pPr>
      <w:r>
        <w:rPr>
          <w:rFonts w:ascii="Verdana" w:hAnsi="Verdana"/>
        </w:rPr>
        <w:t xml:space="preserve">Final </w:t>
      </w:r>
      <w:r w:rsidR="00722A0D">
        <w:rPr>
          <w:rFonts w:ascii="Verdana" w:hAnsi="Verdana"/>
        </w:rPr>
        <w:t xml:space="preserve">state </w:t>
      </w:r>
      <w:r>
        <w:rPr>
          <w:rFonts w:ascii="Verdana" w:hAnsi="Verdana"/>
        </w:rPr>
        <w:t>comprehensive exam</w:t>
      </w:r>
      <w:r w:rsidR="001C40D3" w:rsidRPr="004212A1">
        <w:rPr>
          <w:rFonts w:ascii="Verdana" w:hAnsi="Verdana"/>
        </w:rPr>
        <w:t xml:space="preserve"> – cumulative exam which will count </w:t>
      </w:r>
      <w:r w:rsidR="00722A0D">
        <w:rPr>
          <w:rFonts w:ascii="Verdana" w:hAnsi="Verdana"/>
        </w:rPr>
        <w:t>1</w:t>
      </w:r>
      <w:r w:rsidR="005B6944">
        <w:rPr>
          <w:rFonts w:ascii="Verdana" w:hAnsi="Verdana"/>
        </w:rPr>
        <w:t>5</w:t>
      </w:r>
      <w:r w:rsidR="001C40D3" w:rsidRPr="004212A1">
        <w:rPr>
          <w:rFonts w:ascii="Verdana" w:hAnsi="Verdana"/>
        </w:rPr>
        <w:t>% of final grade</w:t>
      </w:r>
    </w:p>
    <w:p w:rsidR="001C40D3" w:rsidRDefault="001C40D3" w:rsidP="00374EA9">
      <w:pPr>
        <w:spacing w:after="0" w:line="240" w:lineRule="auto"/>
        <w:rPr>
          <w:rFonts w:ascii="Verdana" w:hAnsi="Verdana"/>
        </w:rPr>
      </w:pPr>
      <w:bookmarkStart w:id="0" w:name="_GoBack"/>
      <w:bookmarkEnd w:id="0"/>
    </w:p>
    <w:p w:rsidR="001C40D3" w:rsidRPr="004212A1" w:rsidRDefault="001C40D3" w:rsidP="003F7F43">
      <w:pPr>
        <w:rPr>
          <w:b/>
        </w:rPr>
      </w:pPr>
      <w:r w:rsidRPr="004212A1">
        <w:rPr>
          <w:b/>
        </w:rPr>
        <w:t>GENERAL EXPECTATIONS:</w:t>
      </w:r>
    </w:p>
    <w:p w:rsidR="001C40D3" w:rsidRPr="00D116FE" w:rsidRDefault="001C40D3" w:rsidP="003F7F43">
      <w:pPr>
        <w:pStyle w:val="ListParagraph"/>
        <w:numPr>
          <w:ilvl w:val="0"/>
          <w:numId w:val="5"/>
        </w:numPr>
        <w:rPr>
          <w:b/>
          <w:sz w:val="24"/>
          <w:szCs w:val="24"/>
        </w:rPr>
      </w:pPr>
      <w:r w:rsidRPr="00D116FE">
        <w:rPr>
          <w:b/>
          <w:sz w:val="24"/>
          <w:szCs w:val="24"/>
        </w:rPr>
        <w:t>Students:</w:t>
      </w:r>
    </w:p>
    <w:p w:rsidR="001C40D3" w:rsidRPr="00374EA9" w:rsidRDefault="001C40D3" w:rsidP="00374EA9">
      <w:pPr>
        <w:pStyle w:val="ListParagraph"/>
        <w:numPr>
          <w:ilvl w:val="1"/>
          <w:numId w:val="5"/>
        </w:numPr>
        <w:rPr>
          <w:rFonts w:ascii="Verdana" w:hAnsi="Verdana"/>
          <w:b/>
          <w:i/>
        </w:rPr>
      </w:pPr>
      <w:r w:rsidRPr="00374EA9">
        <w:rPr>
          <w:b/>
          <w:sz w:val="24"/>
          <w:szCs w:val="24"/>
        </w:rPr>
        <w:t xml:space="preserve">Attendance </w:t>
      </w:r>
      <w:r w:rsidR="00374EA9">
        <w:rPr>
          <w:b/>
          <w:sz w:val="24"/>
          <w:szCs w:val="24"/>
        </w:rPr>
        <w:t>and tardy policies</w:t>
      </w:r>
      <w:r w:rsidRPr="00374EA9">
        <w:rPr>
          <w:rFonts w:ascii="Verdana" w:hAnsi="Verdana"/>
          <w:b/>
          <w:i/>
        </w:rPr>
        <w:t xml:space="preserve"> will follow the Gibbs High School student handbook.</w:t>
      </w:r>
    </w:p>
    <w:p w:rsidR="0077403C" w:rsidRPr="004212A1" w:rsidRDefault="0077403C" w:rsidP="0077403C">
      <w:pPr>
        <w:pStyle w:val="ListParagraph"/>
        <w:ind w:left="2160"/>
        <w:rPr>
          <w:rFonts w:ascii="Verdana" w:hAnsi="Verdana"/>
          <w:b/>
        </w:rPr>
      </w:pPr>
    </w:p>
    <w:p w:rsidR="001C40D3" w:rsidRPr="00ED4F26" w:rsidRDefault="001C40D3" w:rsidP="00374EA9">
      <w:pPr>
        <w:pStyle w:val="ListParagraph"/>
        <w:numPr>
          <w:ilvl w:val="1"/>
          <w:numId w:val="5"/>
        </w:numPr>
        <w:spacing w:after="0" w:line="240" w:lineRule="auto"/>
        <w:rPr>
          <w:b/>
          <w:sz w:val="24"/>
          <w:szCs w:val="24"/>
        </w:rPr>
      </w:pPr>
      <w:r w:rsidRPr="00ED4F26">
        <w:rPr>
          <w:b/>
          <w:sz w:val="24"/>
          <w:szCs w:val="24"/>
        </w:rPr>
        <w:t>Honor Code</w:t>
      </w:r>
    </w:p>
    <w:p w:rsidR="00FA0208" w:rsidRDefault="001C40D3" w:rsidP="008C4499">
      <w:pPr>
        <w:pStyle w:val="ListParagraph"/>
        <w:ind w:left="1440"/>
        <w:rPr>
          <w:rFonts w:ascii="Verdana" w:hAnsi="Verdana"/>
        </w:rPr>
      </w:pPr>
      <w:r w:rsidRPr="004212A1">
        <w:rPr>
          <w:rFonts w:ascii="Verdana" w:hAnsi="Verdana"/>
        </w:rPr>
        <w:t xml:space="preserve">Students </w:t>
      </w:r>
      <w:proofErr w:type="gramStart"/>
      <w:r w:rsidRPr="004212A1">
        <w:rPr>
          <w:rFonts w:ascii="Verdana" w:hAnsi="Verdana"/>
        </w:rPr>
        <w:t>are expected</w:t>
      </w:r>
      <w:proofErr w:type="gramEnd"/>
      <w:r w:rsidRPr="004212A1">
        <w:rPr>
          <w:rFonts w:ascii="Verdana" w:hAnsi="Verdana"/>
        </w:rPr>
        <w:t xml:space="preserve"> to do their own work.  </w:t>
      </w:r>
      <w:r w:rsidR="00FA0208" w:rsidRPr="004212A1">
        <w:rPr>
          <w:rFonts w:ascii="Verdana" w:hAnsi="Verdana"/>
        </w:rPr>
        <w:t xml:space="preserve">This includes class work, projects, tests, quizzes, etc.  If students </w:t>
      </w:r>
      <w:proofErr w:type="gramStart"/>
      <w:r w:rsidR="00FA0208" w:rsidRPr="004212A1">
        <w:rPr>
          <w:rFonts w:ascii="Verdana" w:hAnsi="Verdana"/>
        </w:rPr>
        <w:t>are found</w:t>
      </w:r>
      <w:proofErr w:type="gramEnd"/>
      <w:r w:rsidR="00FA0208" w:rsidRPr="004212A1">
        <w:rPr>
          <w:rFonts w:ascii="Verdana" w:hAnsi="Verdana"/>
        </w:rPr>
        <w:t xml:space="preserve"> to be in violation of the Honor Code, a zero will be given on the assignment.</w:t>
      </w:r>
    </w:p>
    <w:p w:rsidR="00374EA9" w:rsidRPr="004212A1" w:rsidRDefault="00374EA9" w:rsidP="008C4499">
      <w:pPr>
        <w:pStyle w:val="ListParagraph"/>
        <w:ind w:left="1440"/>
        <w:rPr>
          <w:rFonts w:ascii="Verdana" w:hAnsi="Verdana"/>
        </w:rPr>
      </w:pPr>
    </w:p>
    <w:p w:rsidR="00FA0208" w:rsidRPr="00374EA9" w:rsidRDefault="00FA0208" w:rsidP="00374EA9">
      <w:pPr>
        <w:pStyle w:val="ListParagraph"/>
        <w:numPr>
          <w:ilvl w:val="1"/>
          <w:numId w:val="5"/>
        </w:numPr>
        <w:spacing w:after="0" w:line="240" w:lineRule="auto"/>
        <w:rPr>
          <w:b/>
          <w:color w:val="000000"/>
          <w:sz w:val="24"/>
          <w:szCs w:val="24"/>
        </w:rPr>
      </w:pPr>
      <w:r w:rsidRPr="00374EA9">
        <w:rPr>
          <w:b/>
          <w:color w:val="000000"/>
          <w:sz w:val="24"/>
          <w:szCs w:val="24"/>
        </w:rPr>
        <w:t>Plagiarism</w:t>
      </w:r>
    </w:p>
    <w:p w:rsidR="00FA0208" w:rsidRPr="00D116FE" w:rsidRDefault="00FA0208" w:rsidP="008C4499">
      <w:pPr>
        <w:spacing w:after="0" w:line="240" w:lineRule="auto"/>
        <w:ind w:left="1440"/>
        <w:rPr>
          <w:rFonts w:ascii="Verdana" w:hAnsi="Verdana"/>
          <w:color w:val="000000"/>
        </w:rPr>
      </w:pPr>
      <w:r w:rsidRPr="00D116FE">
        <w:rPr>
          <w:rFonts w:ascii="Verdana" w:hAnsi="Verdana"/>
          <w:color w:val="000000"/>
        </w:rPr>
        <w:t xml:space="preserve">According to </w:t>
      </w:r>
      <w:proofErr w:type="spellStart"/>
      <w:r w:rsidRPr="00D116FE">
        <w:rPr>
          <w:rFonts w:ascii="Verdana" w:hAnsi="Verdana"/>
          <w:color w:val="000000"/>
        </w:rPr>
        <w:t>Harbrace</w:t>
      </w:r>
      <w:proofErr w:type="spellEnd"/>
      <w:r w:rsidRPr="00D116FE">
        <w:rPr>
          <w:rFonts w:ascii="Verdana" w:hAnsi="Verdana"/>
          <w:color w:val="000000"/>
        </w:rPr>
        <w:t xml:space="preserve"> Handbook, 15</w:t>
      </w:r>
      <w:r w:rsidRPr="00D116FE">
        <w:rPr>
          <w:rFonts w:ascii="Verdana" w:hAnsi="Verdana"/>
          <w:color w:val="000000"/>
          <w:vertAlign w:val="superscript"/>
        </w:rPr>
        <w:t>th</w:t>
      </w:r>
      <w:r w:rsidRPr="00D116FE">
        <w:rPr>
          <w:rFonts w:ascii="Verdana" w:hAnsi="Verdana"/>
          <w:color w:val="000000"/>
        </w:rPr>
        <w:t xml:space="preserve"> edition: </w:t>
      </w:r>
    </w:p>
    <w:p w:rsidR="00FA0208" w:rsidRPr="00D116FE" w:rsidRDefault="00FA0208" w:rsidP="008C4499">
      <w:pPr>
        <w:spacing w:after="0" w:line="240" w:lineRule="auto"/>
        <w:ind w:left="1440"/>
        <w:rPr>
          <w:rFonts w:ascii="Verdana" w:hAnsi="Verdana"/>
          <w:color w:val="000000"/>
        </w:rPr>
      </w:pPr>
      <w:r w:rsidRPr="00D116FE">
        <w:rPr>
          <w:rFonts w:ascii="Verdana" w:hAnsi="Verdana"/>
          <w:color w:val="000000"/>
        </w:rPr>
        <w:lastRenderedPageBreak/>
        <w:t>“Plagiarism is defined as presenting someone else’s ideas, research, or opinion as your own without proper documentation, even if it has been rephrased.  It includes, but is not limited to the following:</w:t>
      </w:r>
    </w:p>
    <w:p w:rsidR="00FA0208" w:rsidRPr="00D116FE" w:rsidRDefault="00FA0208" w:rsidP="008C4499">
      <w:pPr>
        <w:spacing w:after="0" w:line="240" w:lineRule="auto"/>
        <w:ind w:left="1440"/>
        <w:rPr>
          <w:rFonts w:ascii="Verdana" w:hAnsi="Verdana"/>
          <w:color w:val="000000"/>
        </w:rPr>
      </w:pPr>
    </w:p>
    <w:p w:rsidR="00FA0208" w:rsidRPr="00D116FE" w:rsidRDefault="00FA0208" w:rsidP="008C4499">
      <w:pPr>
        <w:pStyle w:val="ListParagraph"/>
        <w:numPr>
          <w:ilvl w:val="3"/>
          <w:numId w:val="5"/>
        </w:numPr>
        <w:tabs>
          <w:tab w:val="num" w:pos="1800"/>
        </w:tabs>
        <w:spacing w:after="0"/>
        <w:ind w:left="1800"/>
        <w:rPr>
          <w:rFonts w:ascii="Verdana" w:hAnsi="Verdana"/>
          <w:color w:val="000000"/>
        </w:rPr>
      </w:pPr>
      <w:r w:rsidRPr="00D116FE">
        <w:rPr>
          <w:rFonts w:ascii="Verdana" w:hAnsi="Verdana"/>
          <w:color w:val="000000"/>
        </w:rPr>
        <w:t>Copying verbatim all or part of another’s written work;</w:t>
      </w:r>
    </w:p>
    <w:p w:rsidR="00FA0208" w:rsidRPr="00D116FE" w:rsidRDefault="00FA0208" w:rsidP="008C4499">
      <w:pPr>
        <w:pStyle w:val="ListParagraph"/>
        <w:numPr>
          <w:ilvl w:val="3"/>
          <w:numId w:val="5"/>
        </w:numPr>
        <w:tabs>
          <w:tab w:val="num" w:pos="1800"/>
        </w:tabs>
        <w:spacing w:after="0"/>
        <w:ind w:left="1800"/>
        <w:rPr>
          <w:rFonts w:ascii="Verdana" w:hAnsi="Verdana"/>
          <w:color w:val="000000"/>
        </w:rPr>
      </w:pPr>
      <w:r w:rsidRPr="00D116FE">
        <w:rPr>
          <w:rFonts w:ascii="Verdana" w:hAnsi="Verdana"/>
          <w:color w:val="000000"/>
        </w:rPr>
        <w:t>Using phrases, figures, or illustrations without citing the source;</w:t>
      </w:r>
    </w:p>
    <w:p w:rsidR="00FA0208" w:rsidRPr="00D116FE" w:rsidRDefault="00FA0208" w:rsidP="008C4499">
      <w:pPr>
        <w:pStyle w:val="ListParagraph"/>
        <w:numPr>
          <w:ilvl w:val="3"/>
          <w:numId w:val="5"/>
        </w:numPr>
        <w:tabs>
          <w:tab w:val="num" w:pos="1800"/>
        </w:tabs>
        <w:spacing w:after="0"/>
        <w:ind w:left="1800"/>
        <w:rPr>
          <w:rFonts w:ascii="Verdana" w:hAnsi="Verdana"/>
          <w:color w:val="000000"/>
        </w:rPr>
      </w:pPr>
      <w:r w:rsidRPr="00D116FE">
        <w:rPr>
          <w:rFonts w:ascii="Verdana" w:hAnsi="Verdana"/>
          <w:color w:val="000000"/>
        </w:rPr>
        <w:t>Paraphrasing ideas, conclusions, or research without citing the source;</w:t>
      </w:r>
    </w:p>
    <w:p w:rsidR="00FA0208" w:rsidRPr="00D116FE" w:rsidRDefault="00FA0208" w:rsidP="008C4499">
      <w:pPr>
        <w:pStyle w:val="ListParagraph"/>
        <w:numPr>
          <w:ilvl w:val="3"/>
          <w:numId w:val="5"/>
        </w:numPr>
        <w:tabs>
          <w:tab w:val="num" w:pos="1800"/>
        </w:tabs>
        <w:spacing w:after="0"/>
        <w:ind w:left="1800"/>
        <w:rPr>
          <w:rFonts w:ascii="Verdana" w:hAnsi="Verdana"/>
          <w:color w:val="000000"/>
        </w:rPr>
      </w:pPr>
      <w:r w:rsidRPr="00D116FE">
        <w:rPr>
          <w:rFonts w:ascii="Verdana" w:hAnsi="Verdana"/>
          <w:color w:val="000000"/>
        </w:rPr>
        <w:t>Using all or part of a literary plot, poem, or film without attributing the work to its creator.”</w:t>
      </w:r>
    </w:p>
    <w:p w:rsidR="00FA0208" w:rsidRPr="00D116FE" w:rsidRDefault="00FA0208" w:rsidP="008C4499">
      <w:pPr>
        <w:pStyle w:val="ListParagraph"/>
        <w:spacing w:after="0"/>
        <w:ind w:left="0"/>
        <w:rPr>
          <w:rFonts w:ascii="Verdana" w:hAnsi="Verdana"/>
          <w:color w:val="000000"/>
        </w:rPr>
      </w:pPr>
    </w:p>
    <w:p w:rsidR="00FA0208" w:rsidRPr="00D116FE" w:rsidRDefault="00FA0208" w:rsidP="00A21141">
      <w:pPr>
        <w:spacing w:after="0"/>
        <w:ind w:left="1440"/>
        <w:rPr>
          <w:rFonts w:ascii="Verdana" w:hAnsi="Verdana"/>
          <w:u w:val="single"/>
        </w:rPr>
      </w:pPr>
      <w:r w:rsidRPr="00D116FE">
        <w:rPr>
          <w:rFonts w:ascii="Verdana" w:hAnsi="Verdana"/>
          <w:u w:val="single"/>
        </w:rPr>
        <w:t>Consequences of Plagiarism</w:t>
      </w:r>
    </w:p>
    <w:p w:rsidR="00FA0208" w:rsidRPr="00D116FE" w:rsidRDefault="00FA0208" w:rsidP="00A21141">
      <w:pPr>
        <w:spacing w:after="0"/>
        <w:ind w:left="1440"/>
        <w:rPr>
          <w:rFonts w:ascii="Verdana" w:hAnsi="Verdana"/>
        </w:rPr>
      </w:pPr>
      <w:r w:rsidRPr="00D116FE">
        <w:rPr>
          <w:rFonts w:ascii="Verdana" w:hAnsi="Verdana"/>
        </w:rPr>
        <w:t xml:space="preserve">Plagiarism is a form of stealing and academic fraud.  Students who are found guilty of plagiarism will have the option of either redoing the assignment within a specified </w:t>
      </w:r>
      <w:proofErr w:type="gramStart"/>
      <w:r w:rsidRPr="00D116FE">
        <w:rPr>
          <w:rFonts w:ascii="Verdana" w:hAnsi="Verdana"/>
        </w:rPr>
        <w:t>time period</w:t>
      </w:r>
      <w:proofErr w:type="gramEnd"/>
      <w:r w:rsidRPr="00D116FE">
        <w:rPr>
          <w:rFonts w:ascii="Verdana" w:hAnsi="Verdana"/>
        </w:rPr>
        <w:t xml:space="preserve"> and accepting a grade letter drop or taking a zero on the assignment.  Parents should be involved in making the decision.</w:t>
      </w:r>
    </w:p>
    <w:p w:rsidR="008E470B" w:rsidRPr="00D116FE" w:rsidRDefault="008E470B" w:rsidP="008C4499">
      <w:pPr>
        <w:pStyle w:val="ListParagraph"/>
        <w:ind w:left="0"/>
        <w:rPr>
          <w:b/>
        </w:rPr>
      </w:pPr>
    </w:p>
    <w:p w:rsidR="001C40D3" w:rsidRPr="00F139C2" w:rsidRDefault="001C40D3" w:rsidP="003F7F43">
      <w:pPr>
        <w:pStyle w:val="ListParagraph"/>
        <w:numPr>
          <w:ilvl w:val="0"/>
          <w:numId w:val="5"/>
        </w:numPr>
        <w:rPr>
          <w:b/>
          <w:sz w:val="24"/>
          <w:szCs w:val="24"/>
        </w:rPr>
      </w:pPr>
      <w:r w:rsidRPr="00F139C2">
        <w:rPr>
          <w:b/>
          <w:sz w:val="24"/>
          <w:szCs w:val="24"/>
        </w:rPr>
        <w:t>Teacher:</w:t>
      </w:r>
    </w:p>
    <w:p w:rsidR="001C40D3" w:rsidRPr="00F139C2" w:rsidRDefault="001C40D3" w:rsidP="00B91C66">
      <w:pPr>
        <w:pStyle w:val="ListParagraph"/>
        <w:numPr>
          <w:ilvl w:val="0"/>
          <w:numId w:val="6"/>
        </w:numPr>
        <w:ind w:left="1080" w:firstLine="0"/>
        <w:rPr>
          <w:b/>
          <w:sz w:val="24"/>
          <w:szCs w:val="24"/>
        </w:rPr>
      </w:pPr>
      <w:r w:rsidRPr="00F139C2">
        <w:rPr>
          <w:b/>
          <w:sz w:val="24"/>
          <w:szCs w:val="24"/>
        </w:rPr>
        <w:t>Communication Strategy:</w:t>
      </w:r>
    </w:p>
    <w:p w:rsidR="001C40D3" w:rsidRPr="00231336" w:rsidRDefault="001C40D3" w:rsidP="00231336">
      <w:pPr>
        <w:pStyle w:val="ListParagraph"/>
        <w:numPr>
          <w:ilvl w:val="0"/>
          <w:numId w:val="6"/>
        </w:numPr>
        <w:rPr>
          <w:rFonts w:ascii="Verdana" w:hAnsi="Verdana"/>
        </w:rPr>
      </w:pPr>
      <w:r w:rsidRPr="00231336">
        <w:rPr>
          <w:rFonts w:ascii="Verdana" w:hAnsi="Verdana"/>
        </w:rPr>
        <w:t>Students are encouraged to communicate any problems they may be having with class content, projects, etc. to the teacher. Students are encouraged to check their grades on the portal.</w:t>
      </w:r>
    </w:p>
    <w:p w:rsidR="001C40D3" w:rsidRPr="00D116FE" w:rsidRDefault="001C40D3" w:rsidP="00B91C66">
      <w:pPr>
        <w:pStyle w:val="ListParagraph"/>
        <w:numPr>
          <w:ilvl w:val="0"/>
          <w:numId w:val="6"/>
        </w:numPr>
        <w:rPr>
          <w:rFonts w:ascii="Verdana" w:hAnsi="Verdana"/>
        </w:rPr>
      </w:pPr>
      <w:proofErr w:type="gramStart"/>
      <w:r w:rsidRPr="00D116FE">
        <w:rPr>
          <w:rFonts w:ascii="Verdana" w:hAnsi="Verdana"/>
        </w:rPr>
        <w:t xml:space="preserve">Parents are encouraged to email or call the </w:t>
      </w:r>
      <w:r w:rsidR="00AB07E2" w:rsidRPr="00D116FE">
        <w:rPr>
          <w:rFonts w:ascii="Verdana" w:hAnsi="Verdana"/>
        </w:rPr>
        <w:t>teacher</w:t>
      </w:r>
      <w:r w:rsidRPr="00D116FE">
        <w:rPr>
          <w:rFonts w:ascii="Verdana" w:hAnsi="Verdana"/>
        </w:rPr>
        <w:t xml:space="preserve"> with any questions or concerns at any time.</w:t>
      </w:r>
      <w:proofErr w:type="gramEnd"/>
    </w:p>
    <w:p w:rsidR="001C40D3" w:rsidRPr="00AF59C4" w:rsidRDefault="00AF59C4" w:rsidP="00374EA9">
      <w:pPr>
        <w:rPr>
          <w:rFonts w:ascii="Verdana" w:hAnsi="Verdana"/>
        </w:rPr>
      </w:pPr>
      <w:r w:rsidRPr="00AF59C4">
        <w:rPr>
          <w:rFonts w:ascii="Verdana" w:hAnsi="Verdana"/>
        </w:rPr>
        <w:t xml:space="preserve">The tutoring center schedule </w:t>
      </w:r>
      <w:proofErr w:type="gramStart"/>
      <w:r w:rsidRPr="00AF59C4">
        <w:rPr>
          <w:rFonts w:ascii="Verdana" w:hAnsi="Verdana"/>
        </w:rPr>
        <w:t>will be provided</w:t>
      </w:r>
      <w:proofErr w:type="gramEnd"/>
      <w:r w:rsidRPr="00AF59C4">
        <w:rPr>
          <w:rFonts w:ascii="Verdana" w:hAnsi="Verdana"/>
        </w:rPr>
        <w:t xml:space="preserve"> as soon as the </w:t>
      </w:r>
      <w:r w:rsidR="006C156E">
        <w:rPr>
          <w:rFonts w:ascii="Verdana" w:hAnsi="Verdana"/>
        </w:rPr>
        <w:t>semester schedule is set</w:t>
      </w:r>
      <w:r w:rsidRPr="00AF59C4">
        <w:rPr>
          <w:rFonts w:ascii="Verdana" w:hAnsi="Verdana"/>
        </w:rPr>
        <w:t>.</w:t>
      </w:r>
      <w:r w:rsidR="003E4699">
        <w:rPr>
          <w:rFonts w:ascii="Verdana" w:hAnsi="Verdana"/>
        </w:rPr>
        <w:t xml:space="preserve">  In addition, students may contact the teacher if tutoring is a resource they wish to utilize.</w:t>
      </w:r>
      <w:r w:rsidRPr="00AF59C4">
        <w:rPr>
          <w:rFonts w:ascii="Verdana" w:hAnsi="Verdana"/>
        </w:rPr>
        <w:t xml:space="preserve">  </w:t>
      </w:r>
      <w:r w:rsidR="006C156E">
        <w:rPr>
          <w:rFonts w:ascii="Verdana" w:hAnsi="Verdana"/>
        </w:rPr>
        <w:t xml:space="preserve">Tutoring times are available </w:t>
      </w:r>
      <w:proofErr w:type="gramStart"/>
      <w:r w:rsidR="006C156E">
        <w:rPr>
          <w:rFonts w:ascii="Verdana" w:hAnsi="Verdana"/>
        </w:rPr>
        <w:t>before and after school</w:t>
      </w:r>
      <w:proofErr w:type="gramEnd"/>
      <w:r w:rsidR="006C156E">
        <w:rPr>
          <w:rFonts w:ascii="Verdana" w:hAnsi="Verdana"/>
        </w:rPr>
        <w:t xml:space="preserve"> and during enrichment.</w:t>
      </w:r>
    </w:p>
    <w:sectPr w:rsidR="001C40D3" w:rsidRPr="00AF59C4" w:rsidSect="00511B7C">
      <w:headerReference w:type="default" r:id="rId9"/>
      <w:footerReference w:type="default" r:id="rId10"/>
      <w:pgSz w:w="12240" w:h="15840"/>
      <w:pgMar w:top="432" w:right="432" w:bottom="432" w:left="432"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520" w:rsidRDefault="00C41520" w:rsidP="006C67FB">
      <w:pPr>
        <w:spacing w:after="0" w:line="240" w:lineRule="auto"/>
      </w:pPr>
      <w:r>
        <w:separator/>
      </w:r>
    </w:p>
  </w:endnote>
  <w:endnote w:type="continuationSeparator" w:id="0">
    <w:p w:rsidR="00C41520" w:rsidRDefault="00C41520" w:rsidP="006C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0D3" w:rsidRDefault="001C40D3">
    <w:pPr>
      <w:pStyle w:val="Footer"/>
      <w:jc w:val="right"/>
    </w:pPr>
    <w:r>
      <w:t xml:space="preserve">Page </w:t>
    </w:r>
    <w:r>
      <w:rPr>
        <w:b/>
      </w:rPr>
      <w:fldChar w:fldCharType="begin"/>
    </w:r>
    <w:r>
      <w:rPr>
        <w:b/>
      </w:rPr>
      <w:instrText xml:space="preserve"> PAGE </w:instrText>
    </w:r>
    <w:r>
      <w:rPr>
        <w:b/>
      </w:rPr>
      <w:fldChar w:fldCharType="separate"/>
    </w:r>
    <w:r w:rsidR="00231336">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231336">
      <w:rPr>
        <w:b/>
        <w:noProof/>
      </w:rPr>
      <w:t>3</w:t>
    </w:r>
    <w:r>
      <w:rPr>
        <w:b/>
      </w:rPr>
      <w:fldChar w:fldCharType="end"/>
    </w:r>
  </w:p>
  <w:p w:rsidR="001C40D3" w:rsidRDefault="001C4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520" w:rsidRDefault="00C41520" w:rsidP="006C67FB">
      <w:pPr>
        <w:spacing w:after="0" w:line="240" w:lineRule="auto"/>
      </w:pPr>
      <w:r>
        <w:separator/>
      </w:r>
    </w:p>
  </w:footnote>
  <w:footnote w:type="continuationSeparator" w:id="0">
    <w:p w:rsidR="00C41520" w:rsidRDefault="00C41520" w:rsidP="006C6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0D3" w:rsidRDefault="00E607A8">
    <w:pPr>
      <w:pStyle w:val="Header"/>
      <w:tabs>
        <w:tab w:val="left" w:pos="2580"/>
        <w:tab w:val="left" w:pos="2985"/>
      </w:tabs>
      <w:spacing w:after="120" w:line="276" w:lineRule="auto"/>
      <w:jc w:val="right"/>
      <w:rPr>
        <w:b/>
        <w:bCs/>
        <w:color w:val="1F497D"/>
        <w:sz w:val="28"/>
        <w:szCs w:val="28"/>
      </w:rPr>
    </w:pPr>
    <w:r>
      <w:rPr>
        <w:noProof/>
        <w:lang w:val="en-US" w:eastAsia="en-US"/>
      </w:rPr>
      <mc:AlternateContent>
        <mc:Choice Requires="wps">
          <w:drawing>
            <wp:anchor distT="0" distB="0" distL="114300" distR="114300" simplePos="0" relativeHeight="251658240" behindDoc="1" locked="0" layoutInCell="1" allowOverlap="1" wp14:anchorId="140624F4" wp14:editId="4AC45498">
              <wp:simplePos x="0" y="0"/>
              <wp:positionH relativeFrom="column">
                <wp:posOffset>220980</wp:posOffset>
              </wp:positionH>
              <wp:positionV relativeFrom="paragraph">
                <wp:posOffset>3810</wp:posOffset>
              </wp:positionV>
              <wp:extent cx="1333500" cy="1181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40D3" w:rsidRDefault="00E607A8">
                          <w:r>
                            <w:rPr>
                              <w:noProof/>
                            </w:rPr>
                            <w:drawing>
                              <wp:inline distT="0" distB="0" distL="0" distR="0" wp14:anchorId="29DA2722" wp14:editId="311C1CF8">
                                <wp:extent cx="708660" cy="701040"/>
                                <wp:effectExtent l="0" t="0" r="0" b="3810"/>
                                <wp:docPr id="3"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s-seal-75in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7010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624F4" id="_x0000_t202" coordsize="21600,21600" o:spt="202" path="m,l,21600r21600,l21600,xe">
              <v:stroke joinstyle="miter"/>
              <v:path gradientshapeok="t" o:connecttype="rect"/>
            </v:shapetype>
            <v:shape id="Text Box 2" o:spid="_x0000_s1026" type="#_x0000_t202" style="position:absolute;left:0;text-align:left;margin-left:17.4pt;margin-top:.3pt;width:105pt;height: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" stroked="f">
              <v:textbox>
                <w:txbxContent>
                  <w:p w:rsidR="001C40D3" w:rsidRDefault="00E607A8">
                    <w:r>
                      <w:rPr>
                        <w:noProof/>
                      </w:rPr>
                      <w:drawing>
                        <wp:inline distT="0" distB="0" distL="0" distR="0" wp14:anchorId="29DA2722" wp14:editId="311C1CF8">
                          <wp:extent cx="708660" cy="701040"/>
                          <wp:effectExtent l="0" t="0" r="0" b="3810"/>
                          <wp:docPr id="3"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s-seal-75in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 cy="701040"/>
                                  </a:xfrm>
                                  <a:prstGeom prst="rect">
                                    <a:avLst/>
                                  </a:prstGeom>
                                  <a:noFill/>
                                  <a:ln>
                                    <a:noFill/>
                                  </a:ln>
                                </pic:spPr>
                              </pic:pic>
                            </a:graphicData>
                          </a:graphic>
                        </wp:inline>
                      </w:drawing>
                    </w:r>
                  </w:p>
                </w:txbxContent>
              </v:textbox>
            </v:shape>
          </w:pict>
        </mc:Fallback>
      </mc:AlternateContent>
    </w:r>
    <w:r w:rsidR="001C40D3">
      <w:rPr>
        <w:b/>
        <w:bCs/>
        <w:color w:val="1F497D"/>
        <w:sz w:val="28"/>
        <w:szCs w:val="28"/>
      </w:rPr>
      <w:t>Gibbs High School</w:t>
    </w:r>
  </w:p>
  <w:p w:rsidR="001C40D3" w:rsidRPr="001F4CD1" w:rsidRDefault="001C40D3">
    <w:pPr>
      <w:pStyle w:val="Header"/>
      <w:tabs>
        <w:tab w:val="left" w:pos="2580"/>
        <w:tab w:val="left" w:pos="2985"/>
      </w:tabs>
      <w:spacing w:after="120" w:line="276" w:lineRule="auto"/>
      <w:jc w:val="right"/>
      <w:rPr>
        <w:color w:val="4F81BD"/>
        <w:lang w:val="en-US"/>
      </w:rPr>
    </w:pPr>
    <w:r>
      <w:rPr>
        <w:b/>
        <w:bCs/>
        <w:color w:val="1F497D"/>
        <w:sz w:val="28"/>
        <w:szCs w:val="28"/>
      </w:rPr>
      <w:t>Algebra 2</w:t>
    </w:r>
  </w:p>
  <w:p w:rsidR="001C40D3" w:rsidRDefault="00374EA9">
    <w:pPr>
      <w:pStyle w:val="Header"/>
      <w:pBdr>
        <w:bottom w:val="single" w:sz="4" w:space="1" w:color="A5A5A5"/>
      </w:pBdr>
      <w:tabs>
        <w:tab w:val="left" w:pos="2580"/>
        <w:tab w:val="left" w:pos="2985"/>
      </w:tabs>
      <w:spacing w:after="120" w:line="276" w:lineRule="auto"/>
      <w:jc w:val="right"/>
      <w:rPr>
        <w:color w:val="808080"/>
      </w:rPr>
    </w:pPr>
    <w:r>
      <w:rPr>
        <w:color w:val="808080"/>
        <w:lang w:val="en-US"/>
      </w:rPr>
      <w:t>Fall</w:t>
    </w:r>
    <w:r w:rsidR="005438E9">
      <w:rPr>
        <w:color w:val="808080"/>
        <w:lang w:val="en-US"/>
      </w:rPr>
      <w:t xml:space="preserve"> 2018</w:t>
    </w:r>
  </w:p>
  <w:p w:rsidR="001C40D3" w:rsidRDefault="001C40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C1E1E"/>
    <w:multiLevelType w:val="hybridMultilevel"/>
    <w:tmpl w:val="6866A652"/>
    <w:lvl w:ilvl="0" w:tplc="C9AA0642">
      <w:numFmt w:val="bullet"/>
      <w:lvlText w:val="•"/>
      <w:lvlJc w:val="left"/>
      <w:pPr>
        <w:ind w:left="1800" w:hanging="360"/>
      </w:pPr>
      <w:rPr>
        <w:rFonts w:ascii="Verdana" w:eastAsia="Times New Roman" w:hAnsi="Verdana"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8C024E6"/>
    <w:multiLevelType w:val="hybridMultilevel"/>
    <w:tmpl w:val="ABF08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8A66A4"/>
    <w:multiLevelType w:val="hybridMultilevel"/>
    <w:tmpl w:val="3E14F7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D30E0"/>
    <w:multiLevelType w:val="hybridMultilevel"/>
    <w:tmpl w:val="B51EE7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14592"/>
    <w:multiLevelType w:val="hybridMultilevel"/>
    <w:tmpl w:val="A2841CE2"/>
    <w:lvl w:ilvl="0" w:tplc="5B7E853E">
      <w:start w:val="1"/>
      <w:numFmt w:val="bullet"/>
      <w:lvlText w:val="o"/>
      <w:lvlJc w:val="left"/>
      <w:pPr>
        <w:ind w:left="1440" w:hanging="360"/>
      </w:pPr>
      <w:rPr>
        <w:rFonts w:ascii="Courier New" w:hAnsi="Courier New" w:hint="default"/>
        <w:sz w:val="24"/>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766C38"/>
    <w:multiLevelType w:val="hybridMultilevel"/>
    <w:tmpl w:val="C4D4B3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F0C0E"/>
    <w:multiLevelType w:val="hybridMultilevel"/>
    <w:tmpl w:val="482E7264"/>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26F1A22"/>
    <w:multiLevelType w:val="hybridMultilevel"/>
    <w:tmpl w:val="95EE68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D4003B8"/>
    <w:multiLevelType w:val="hybridMultilevel"/>
    <w:tmpl w:val="C8F87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B00CB2"/>
    <w:multiLevelType w:val="hybridMultilevel"/>
    <w:tmpl w:val="9976C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D1D7198"/>
    <w:multiLevelType w:val="hybridMultilevel"/>
    <w:tmpl w:val="3AA09B3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D2116E1"/>
    <w:multiLevelType w:val="hybridMultilevel"/>
    <w:tmpl w:val="2B76B8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5F0866"/>
    <w:multiLevelType w:val="hybridMultilevel"/>
    <w:tmpl w:val="9FDC3C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53F5BC8"/>
    <w:multiLevelType w:val="multilevel"/>
    <w:tmpl w:val="64B01366"/>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
      <w:lvlJc w:val="left"/>
      <w:pPr>
        <w:ind w:left="1800" w:hanging="360"/>
      </w:pPr>
      <w:rPr>
        <w:rFonts w:ascii="Symbol" w:eastAsia="Times New Roman" w:hAnsi="Symbol" w:cs="Times New Roman"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6D471665"/>
    <w:multiLevelType w:val="hybridMultilevel"/>
    <w:tmpl w:val="53D6BF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3E6615"/>
    <w:multiLevelType w:val="hybridMultilevel"/>
    <w:tmpl w:val="997A51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91301D"/>
    <w:multiLevelType w:val="hybridMultilevel"/>
    <w:tmpl w:val="0A9EC5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DF61724"/>
    <w:multiLevelType w:val="hybridMultilevel"/>
    <w:tmpl w:val="0C28A2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4"/>
  </w:num>
  <w:num w:numId="2">
    <w:abstractNumId w:val="15"/>
  </w:num>
  <w:num w:numId="3">
    <w:abstractNumId w:val="4"/>
  </w:num>
  <w:num w:numId="4">
    <w:abstractNumId w:val="2"/>
  </w:num>
  <w:num w:numId="5">
    <w:abstractNumId w:val="11"/>
  </w:num>
  <w:num w:numId="6">
    <w:abstractNumId w:val="6"/>
  </w:num>
  <w:num w:numId="7">
    <w:abstractNumId w:val="5"/>
  </w:num>
  <w:num w:numId="8">
    <w:abstractNumId w:val="17"/>
  </w:num>
  <w:num w:numId="9">
    <w:abstractNumId w:val="7"/>
  </w:num>
  <w:num w:numId="10">
    <w:abstractNumId w:val="0"/>
  </w:num>
  <w:num w:numId="11">
    <w:abstractNumId w:val="10"/>
  </w:num>
  <w:num w:numId="12">
    <w:abstractNumId w:val="1"/>
  </w:num>
  <w:num w:numId="13">
    <w:abstractNumId w:val="8"/>
  </w:num>
  <w:num w:numId="14">
    <w:abstractNumId w:val="12"/>
  </w:num>
  <w:num w:numId="15">
    <w:abstractNumId w:val="13"/>
  </w:num>
  <w:num w:numId="16">
    <w:abstractNumId w:val="16"/>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7FB"/>
    <w:rsid w:val="00004228"/>
    <w:rsid w:val="00025EAD"/>
    <w:rsid w:val="00047269"/>
    <w:rsid w:val="000657A4"/>
    <w:rsid w:val="000A0CF1"/>
    <w:rsid w:val="000D69C9"/>
    <w:rsid w:val="000D77A6"/>
    <w:rsid w:val="000F68F8"/>
    <w:rsid w:val="00111C78"/>
    <w:rsid w:val="0012681D"/>
    <w:rsid w:val="00153920"/>
    <w:rsid w:val="00170AE8"/>
    <w:rsid w:val="00181190"/>
    <w:rsid w:val="001A7DB1"/>
    <w:rsid w:val="001C40D3"/>
    <w:rsid w:val="001C7CCB"/>
    <w:rsid w:val="001E68BD"/>
    <w:rsid w:val="001F4CD1"/>
    <w:rsid w:val="00207C90"/>
    <w:rsid w:val="00222836"/>
    <w:rsid w:val="00222F38"/>
    <w:rsid w:val="00227A8C"/>
    <w:rsid w:val="00231336"/>
    <w:rsid w:val="00272AF9"/>
    <w:rsid w:val="00293104"/>
    <w:rsid w:val="002A02CA"/>
    <w:rsid w:val="002B27DC"/>
    <w:rsid w:val="002D4C43"/>
    <w:rsid w:val="002E153A"/>
    <w:rsid w:val="00300107"/>
    <w:rsid w:val="00305B68"/>
    <w:rsid w:val="003107C4"/>
    <w:rsid w:val="00316CCC"/>
    <w:rsid w:val="0032412C"/>
    <w:rsid w:val="00336AD8"/>
    <w:rsid w:val="00360146"/>
    <w:rsid w:val="00374EA9"/>
    <w:rsid w:val="00386C8D"/>
    <w:rsid w:val="00393691"/>
    <w:rsid w:val="003E4699"/>
    <w:rsid w:val="003F6065"/>
    <w:rsid w:val="003F7F43"/>
    <w:rsid w:val="004212A1"/>
    <w:rsid w:val="0042267F"/>
    <w:rsid w:val="004227DF"/>
    <w:rsid w:val="00427B09"/>
    <w:rsid w:val="0044574F"/>
    <w:rsid w:val="0045723C"/>
    <w:rsid w:val="0046192D"/>
    <w:rsid w:val="00472746"/>
    <w:rsid w:val="004A2351"/>
    <w:rsid w:val="004C4B3C"/>
    <w:rsid w:val="004D2CAF"/>
    <w:rsid w:val="004D34BF"/>
    <w:rsid w:val="004E077D"/>
    <w:rsid w:val="00500E0C"/>
    <w:rsid w:val="00511B7C"/>
    <w:rsid w:val="005333A5"/>
    <w:rsid w:val="0053460C"/>
    <w:rsid w:val="005438E9"/>
    <w:rsid w:val="005520ED"/>
    <w:rsid w:val="005734C8"/>
    <w:rsid w:val="005735CF"/>
    <w:rsid w:val="00583A62"/>
    <w:rsid w:val="00585A62"/>
    <w:rsid w:val="00590E74"/>
    <w:rsid w:val="005975FA"/>
    <w:rsid w:val="005A78CF"/>
    <w:rsid w:val="005A7B0D"/>
    <w:rsid w:val="005B6944"/>
    <w:rsid w:val="0060586D"/>
    <w:rsid w:val="006179AD"/>
    <w:rsid w:val="006301DA"/>
    <w:rsid w:val="00640468"/>
    <w:rsid w:val="00660D3E"/>
    <w:rsid w:val="00663009"/>
    <w:rsid w:val="0067283B"/>
    <w:rsid w:val="006844A3"/>
    <w:rsid w:val="006C156E"/>
    <w:rsid w:val="006C4CC6"/>
    <w:rsid w:val="006C51AF"/>
    <w:rsid w:val="006C58EC"/>
    <w:rsid w:val="006C67FB"/>
    <w:rsid w:val="006D3F44"/>
    <w:rsid w:val="006E32B6"/>
    <w:rsid w:val="006E453D"/>
    <w:rsid w:val="007054AA"/>
    <w:rsid w:val="00722A0D"/>
    <w:rsid w:val="00725FBA"/>
    <w:rsid w:val="0077403C"/>
    <w:rsid w:val="00786541"/>
    <w:rsid w:val="00794009"/>
    <w:rsid w:val="007A6859"/>
    <w:rsid w:val="007C6819"/>
    <w:rsid w:val="007D2100"/>
    <w:rsid w:val="007E1197"/>
    <w:rsid w:val="007E3CDD"/>
    <w:rsid w:val="008027D9"/>
    <w:rsid w:val="00802900"/>
    <w:rsid w:val="00812A59"/>
    <w:rsid w:val="008132D4"/>
    <w:rsid w:val="00817005"/>
    <w:rsid w:val="0082028B"/>
    <w:rsid w:val="0083735E"/>
    <w:rsid w:val="008455F2"/>
    <w:rsid w:val="008647C3"/>
    <w:rsid w:val="0087268B"/>
    <w:rsid w:val="00886897"/>
    <w:rsid w:val="008B11A1"/>
    <w:rsid w:val="008B18AE"/>
    <w:rsid w:val="008C4499"/>
    <w:rsid w:val="008D3886"/>
    <w:rsid w:val="008E470B"/>
    <w:rsid w:val="008F43C2"/>
    <w:rsid w:val="009168E1"/>
    <w:rsid w:val="00944294"/>
    <w:rsid w:val="00954CB1"/>
    <w:rsid w:val="009A0D8D"/>
    <w:rsid w:val="009D1277"/>
    <w:rsid w:val="009E0CC4"/>
    <w:rsid w:val="009E7A26"/>
    <w:rsid w:val="009F2BAF"/>
    <w:rsid w:val="00A21141"/>
    <w:rsid w:val="00A24603"/>
    <w:rsid w:val="00A3287F"/>
    <w:rsid w:val="00A33FE2"/>
    <w:rsid w:val="00A54411"/>
    <w:rsid w:val="00A769B7"/>
    <w:rsid w:val="00A93C5A"/>
    <w:rsid w:val="00AA3F51"/>
    <w:rsid w:val="00AB07E2"/>
    <w:rsid w:val="00AE7A73"/>
    <w:rsid w:val="00AF24ED"/>
    <w:rsid w:val="00AF59C4"/>
    <w:rsid w:val="00B64843"/>
    <w:rsid w:val="00B91C66"/>
    <w:rsid w:val="00BB0771"/>
    <w:rsid w:val="00BB6BF9"/>
    <w:rsid w:val="00BC204D"/>
    <w:rsid w:val="00BC45B5"/>
    <w:rsid w:val="00BD7F52"/>
    <w:rsid w:val="00BE3277"/>
    <w:rsid w:val="00C01E70"/>
    <w:rsid w:val="00C16C7B"/>
    <w:rsid w:val="00C41520"/>
    <w:rsid w:val="00C41F02"/>
    <w:rsid w:val="00C6283B"/>
    <w:rsid w:val="00C6610F"/>
    <w:rsid w:val="00C740AF"/>
    <w:rsid w:val="00C75CD2"/>
    <w:rsid w:val="00C76854"/>
    <w:rsid w:val="00C8294D"/>
    <w:rsid w:val="00C9448E"/>
    <w:rsid w:val="00CB319C"/>
    <w:rsid w:val="00CE5E32"/>
    <w:rsid w:val="00CF021F"/>
    <w:rsid w:val="00CF4CEB"/>
    <w:rsid w:val="00D079C5"/>
    <w:rsid w:val="00D116FE"/>
    <w:rsid w:val="00D404AF"/>
    <w:rsid w:val="00D5653C"/>
    <w:rsid w:val="00D6108E"/>
    <w:rsid w:val="00D61FEE"/>
    <w:rsid w:val="00DA3DC2"/>
    <w:rsid w:val="00DE04E0"/>
    <w:rsid w:val="00DE6A94"/>
    <w:rsid w:val="00E100E5"/>
    <w:rsid w:val="00E33F42"/>
    <w:rsid w:val="00E43232"/>
    <w:rsid w:val="00E54D1C"/>
    <w:rsid w:val="00E607A8"/>
    <w:rsid w:val="00E664B8"/>
    <w:rsid w:val="00E8639C"/>
    <w:rsid w:val="00E91EC6"/>
    <w:rsid w:val="00EA486D"/>
    <w:rsid w:val="00EC06EE"/>
    <w:rsid w:val="00EC417C"/>
    <w:rsid w:val="00EC5433"/>
    <w:rsid w:val="00ED4F26"/>
    <w:rsid w:val="00EE1E40"/>
    <w:rsid w:val="00F07AD7"/>
    <w:rsid w:val="00F139C2"/>
    <w:rsid w:val="00F44E86"/>
    <w:rsid w:val="00F61C18"/>
    <w:rsid w:val="00F631E7"/>
    <w:rsid w:val="00FA0208"/>
    <w:rsid w:val="00FB1A60"/>
    <w:rsid w:val="00FC3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AFC40"/>
  <w15:docId w15:val="{929D49D0-842D-48BB-AF8F-611CCF159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232"/>
    <w:pPr>
      <w:spacing w:after="200" w:line="276" w:lineRule="auto"/>
    </w:pPr>
    <w:rPr>
      <w:sz w:val="22"/>
      <w:szCs w:val="22"/>
    </w:rPr>
  </w:style>
  <w:style w:type="paragraph" w:styleId="Heading4">
    <w:name w:val="heading 4"/>
    <w:basedOn w:val="Normal"/>
    <w:link w:val="Heading4Char"/>
    <w:uiPriority w:val="9"/>
    <w:qFormat/>
    <w:locked/>
    <w:rsid w:val="006844A3"/>
    <w:pPr>
      <w:spacing w:before="100" w:beforeAutospacing="1" w:after="100" w:afterAutospacing="1" w:line="240" w:lineRule="auto"/>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C67FB"/>
    <w:pPr>
      <w:tabs>
        <w:tab w:val="center" w:pos="4680"/>
        <w:tab w:val="right" w:pos="9360"/>
      </w:tabs>
      <w:spacing w:after="0" w:line="240" w:lineRule="auto"/>
    </w:pPr>
    <w:rPr>
      <w:sz w:val="20"/>
      <w:szCs w:val="20"/>
      <w:lang w:val="x-none" w:eastAsia="x-none"/>
    </w:rPr>
  </w:style>
  <w:style w:type="character" w:customStyle="1" w:styleId="HeaderChar">
    <w:name w:val="Header Char"/>
    <w:link w:val="Header"/>
    <w:locked/>
    <w:rsid w:val="006C67FB"/>
    <w:rPr>
      <w:rFonts w:cs="Times New Roman"/>
    </w:rPr>
  </w:style>
  <w:style w:type="paragraph" w:styleId="Footer">
    <w:name w:val="footer"/>
    <w:basedOn w:val="Normal"/>
    <w:link w:val="FooterChar"/>
    <w:rsid w:val="006C67FB"/>
    <w:pPr>
      <w:tabs>
        <w:tab w:val="center" w:pos="4680"/>
        <w:tab w:val="right" w:pos="9360"/>
      </w:tabs>
      <w:spacing w:after="0" w:line="240" w:lineRule="auto"/>
    </w:pPr>
    <w:rPr>
      <w:sz w:val="20"/>
      <w:szCs w:val="20"/>
      <w:lang w:val="x-none" w:eastAsia="x-none"/>
    </w:rPr>
  </w:style>
  <w:style w:type="character" w:customStyle="1" w:styleId="FooterChar">
    <w:name w:val="Footer Char"/>
    <w:link w:val="Footer"/>
    <w:locked/>
    <w:rsid w:val="006C67FB"/>
    <w:rPr>
      <w:rFonts w:cs="Times New Roman"/>
    </w:rPr>
  </w:style>
  <w:style w:type="paragraph" w:styleId="BalloonText">
    <w:name w:val="Balloon Text"/>
    <w:basedOn w:val="Normal"/>
    <w:link w:val="BalloonTextChar"/>
    <w:semiHidden/>
    <w:rsid w:val="006C67FB"/>
    <w:pPr>
      <w:spacing w:after="0" w:line="240" w:lineRule="auto"/>
    </w:pPr>
    <w:rPr>
      <w:rFonts w:ascii="Tahoma" w:hAnsi="Tahoma"/>
      <w:sz w:val="16"/>
      <w:szCs w:val="16"/>
      <w:lang w:val="x-none" w:eastAsia="x-none"/>
    </w:rPr>
  </w:style>
  <w:style w:type="character" w:customStyle="1" w:styleId="BalloonTextChar">
    <w:name w:val="Balloon Text Char"/>
    <w:link w:val="BalloonText"/>
    <w:semiHidden/>
    <w:locked/>
    <w:rsid w:val="006C67FB"/>
    <w:rPr>
      <w:rFonts w:ascii="Tahoma" w:hAnsi="Tahoma" w:cs="Tahoma"/>
      <w:sz w:val="16"/>
      <w:szCs w:val="16"/>
    </w:rPr>
  </w:style>
  <w:style w:type="paragraph" w:styleId="ListParagraph">
    <w:name w:val="List Paragraph"/>
    <w:basedOn w:val="Normal"/>
    <w:qFormat/>
    <w:rsid w:val="006C67FB"/>
    <w:pPr>
      <w:ind w:left="720"/>
      <w:contextualSpacing/>
    </w:pPr>
  </w:style>
  <w:style w:type="character" w:styleId="Emphasis">
    <w:name w:val="Emphasis"/>
    <w:qFormat/>
    <w:rsid w:val="001C7CCB"/>
    <w:rPr>
      <w:rFonts w:cs="Times New Roman"/>
      <w:i/>
      <w:iCs/>
    </w:rPr>
  </w:style>
  <w:style w:type="character" w:styleId="Hyperlink">
    <w:name w:val="Hyperlink"/>
    <w:rsid w:val="00E33F42"/>
    <w:rPr>
      <w:rFonts w:cs="Times New Roman"/>
      <w:color w:val="0000FF"/>
      <w:u w:val="single"/>
    </w:rPr>
  </w:style>
  <w:style w:type="character" w:styleId="FollowedHyperlink">
    <w:name w:val="FollowedHyperlink"/>
    <w:semiHidden/>
    <w:rsid w:val="00E33F42"/>
    <w:rPr>
      <w:rFonts w:cs="Times New Roman"/>
      <w:color w:val="800080"/>
      <w:u w:val="single"/>
    </w:rPr>
  </w:style>
  <w:style w:type="character" w:customStyle="1" w:styleId="Heading4Char">
    <w:name w:val="Heading 4 Char"/>
    <w:basedOn w:val="DefaultParagraphFont"/>
    <w:link w:val="Heading4"/>
    <w:uiPriority w:val="9"/>
    <w:rsid w:val="006844A3"/>
    <w:rPr>
      <w:rFonts w:ascii="Times New Roman" w:hAnsi="Times New Roman"/>
      <w:b/>
      <w:bCs/>
      <w:sz w:val="24"/>
      <w:szCs w:val="24"/>
    </w:rPr>
  </w:style>
  <w:style w:type="character" w:styleId="Strong">
    <w:name w:val="Strong"/>
    <w:uiPriority w:val="22"/>
    <w:qFormat/>
    <w:locked/>
    <w:rsid w:val="006844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150"/>
                                                              <w:marTop w:val="0"/>
                                                              <w:marBottom w:val="15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150"/>
                                                              <w:marTop w:val="0"/>
                                                              <w:marBottom w:val="15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
      <w:marLeft w:val="0"/>
      <w:marRight w:val="0"/>
      <w:marTop w:val="100"/>
      <w:marBottom w:val="100"/>
      <w:divBdr>
        <w:top w:val="none" w:sz="0" w:space="0" w:color="auto"/>
        <w:left w:val="none" w:sz="0" w:space="0" w:color="auto"/>
        <w:bottom w:val="none" w:sz="0" w:space="0" w:color="auto"/>
        <w:right w:val="none" w:sz="0" w:space="0" w:color="auto"/>
      </w:divBdr>
      <w:divsChild>
        <w:div w:id="20">
          <w:marLeft w:val="0"/>
          <w:marRight w:val="0"/>
          <w:marTop w:val="100"/>
          <w:marBottom w:val="100"/>
          <w:divBdr>
            <w:top w:val="none" w:sz="0" w:space="0" w:color="auto"/>
            <w:left w:val="none" w:sz="0" w:space="0" w:color="auto"/>
            <w:bottom w:val="none" w:sz="0" w:space="0" w:color="auto"/>
            <w:right w:val="none" w:sz="0" w:space="0" w:color="auto"/>
          </w:divBdr>
          <w:divsChild>
            <w:div w:id="40">
              <w:marLeft w:val="306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599213">
      <w:bodyDiv w:val="1"/>
      <w:marLeft w:val="0"/>
      <w:marRight w:val="0"/>
      <w:marTop w:val="0"/>
      <w:marBottom w:val="0"/>
      <w:divBdr>
        <w:top w:val="none" w:sz="0" w:space="0" w:color="auto"/>
        <w:left w:val="none" w:sz="0" w:space="0" w:color="auto"/>
        <w:bottom w:val="none" w:sz="0" w:space="0" w:color="auto"/>
        <w:right w:val="none" w:sz="0" w:space="0" w:color="auto"/>
      </w:divBdr>
      <w:divsChild>
        <w:div w:id="251938208">
          <w:marLeft w:val="0"/>
          <w:marRight w:val="0"/>
          <w:marTop w:val="0"/>
          <w:marBottom w:val="0"/>
          <w:divBdr>
            <w:top w:val="none" w:sz="0" w:space="0" w:color="auto"/>
            <w:left w:val="none" w:sz="0" w:space="0" w:color="auto"/>
            <w:bottom w:val="none" w:sz="0" w:space="0" w:color="auto"/>
            <w:right w:val="none" w:sz="0" w:space="0" w:color="auto"/>
          </w:divBdr>
        </w:div>
        <w:div w:id="601691257">
          <w:marLeft w:val="0"/>
          <w:marRight w:val="0"/>
          <w:marTop w:val="0"/>
          <w:marBottom w:val="0"/>
          <w:divBdr>
            <w:top w:val="none" w:sz="0" w:space="0" w:color="auto"/>
            <w:left w:val="none" w:sz="0" w:space="0" w:color="auto"/>
            <w:bottom w:val="none" w:sz="0" w:space="0" w:color="auto"/>
            <w:right w:val="none" w:sz="0" w:space="0" w:color="auto"/>
          </w:divBdr>
        </w:div>
        <w:div w:id="1037314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n.gov/education/standards/math.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ECB07-3731-480C-8300-85EE1E212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Gibbs High School</vt:lpstr>
    </vt:vector>
  </TitlesOfParts>
  <Company>LENOVO CUSTOMER</Company>
  <LinksUpToDate>false</LinksUpToDate>
  <CharactersWithSpaces>4800</CharactersWithSpaces>
  <SharedDoc>false</SharedDoc>
  <HLinks>
    <vt:vector size="12" baseType="variant">
      <vt:variant>
        <vt:i4>3473495</vt:i4>
      </vt:variant>
      <vt:variant>
        <vt:i4>3</vt:i4>
      </vt:variant>
      <vt:variant>
        <vt:i4>0</vt:i4>
      </vt:variant>
      <vt:variant>
        <vt:i4>5</vt:i4>
      </vt:variant>
      <vt:variant>
        <vt:lpwstr>../../Local Settings/Temp/adam.howard@knoxschools.org</vt:lpwstr>
      </vt:variant>
      <vt:variant>
        <vt:lpwstr/>
      </vt:variant>
      <vt:variant>
        <vt:i4>5242908</vt:i4>
      </vt:variant>
      <vt:variant>
        <vt:i4>0</vt:i4>
      </vt:variant>
      <vt:variant>
        <vt:i4>0</vt:i4>
      </vt:variant>
      <vt:variant>
        <vt:i4>5</vt:i4>
      </vt:variant>
      <vt:variant>
        <vt:lpwstr>http://www.tn.gov/education/standards/math.shtml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Gibbs High School</dc:title>
  <dc:subject>Algebra 2 – Amy Bakaletz</dc:subject>
  <dc:creator>Fall 2011</dc:creator>
  <cp:lastModifiedBy>KRISTINA GIVENS</cp:lastModifiedBy>
  <cp:revision>3</cp:revision>
  <cp:lastPrinted>2015-12-31T15:47:00Z</cp:lastPrinted>
  <dcterms:created xsi:type="dcterms:W3CDTF">2018-08-05T21:40:00Z</dcterms:created>
  <dcterms:modified xsi:type="dcterms:W3CDTF">2018-08-05T21:57:00Z</dcterms:modified>
</cp:coreProperties>
</file>